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55D8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s="Times New Roman"/>
          <w:sz w:val="32"/>
          <w:szCs w:val="32"/>
          <w:lang w:val="en-US" w:eastAsia="zh-CN"/>
        </w:rPr>
      </w:pPr>
    </w:p>
    <w:tbl>
      <w:tblPr>
        <w:tblStyle w:val="4"/>
        <w:tblW w:w="493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189"/>
        <w:gridCol w:w="1210"/>
      </w:tblGrid>
      <w:tr w14:paraId="31AB6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279" w:type="pct"/>
            <w:noWrap w:val="0"/>
            <w:vAlign w:val="center"/>
          </w:tcPr>
          <w:p w14:paraId="53F83DAD">
            <w:pPr>
              <w:keepNext w:val="0"/>
              <w:keepLines w:val="0"/>
              <w:pageBreakBefore w:val="0"/>
              <w:widowControl w:val="0"/>
              <w:kinsoku/>
              <w:wordWrap/>
              <w:overflowPunct/>
              <w:topLinePunct w:val="0"/>
              <w:autoSpaceDE/>
              <w:autoSpaceDN/>
              <w:bidi w:val="0"/>
              <w:adjustRightInd/>
              <w:snapToGrid w:val="0"/>
              <w:spacing w:line="640" w:lineRule="exact"/>
              <w:jc w:val="distribute"/>
              <w:textAlignment w:val="auto"/>
              <w:rPr>
                <w:rFonts w:hint="default" w:ascii="Times New Roman" w:hAnsi="Times New Roman" w:eastAsia="方正小标宋简体" w:cs="Times New Roman"/>
                <w:bCs/>
                <w:color w:val="FF0000"/>
                <w:w w:val="85"/>
                <w:sz w:val="60"/>
                <w:szCs w:val="60"/>
              </w:rPr>
            </w:pPr>
            <w:r>
              <w:rPr>
                <w:rFonts w:hint="default" w:ascii="Times New Roman" w:hAnsi="Times New Roman" w:eastAsia="方正小标宋简体" w:cs="Times New Roman"/>
                <w:bCs/>
                <w:color w:val="FF0000"/>
                <w:w w:val="85"/>
                <w:sz w:val="60"/>
                <w:szCs w:val="60"/>
              </w:rPr>
              <w:t>衡阳市民政局</w:t>
            </w:r>
          </w:p>
        </w:tc>
        <w:tc>
          <w:tcPr>
            <w:tcW w:w="720" w:type="pct"/>
            <w:vMerge w:val="restart"/>
            <w:noWrap w:val="0"/>
            <w:vAlign w:val="center"/>
          </w:tcPr>
          <w:p w14:paraId="7834990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FF0000"/>
                <w:w w:val="85"/>
                <w:sz w:val="60"/>
                <w:szCs w:val="60"/>
              </w:rPr>
            </w:pPr>
            <w:r>
              <w:rPr>
                <w:rFonts w:hint="default" w:ascii="Times New Roman" w:hAnsi="Times New Roman" w:eastAsia="方正小标宋简体" w:cs="Times New Roman"/>
                <w:color w:val="FF0000"/>
                <w:w w:val="85"/>
                <w:sz w:val="70"/>
                <w:szCs w:val="70"/>
              </w:rPr>
              <w:t>文件</w:t>
            </w:r>
          </w:p>
        </w:tc>
      </w:tr>
      <w:tr w14:paraId="6D0D3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279" w:type="pct"/>
            <w:noWrap w:val="0"/>
            <w:vAlign w:val="center"/>
          </w:tcPr>
          <w:p w14:paraId="4CA44873">
            <w:pPr>
              <w:keepNext w:val="0"/>
              <w:keepLines w:val="0"/>
              <w:pageBreakBefore w:val="0"/>
              <w:widowControl w:val="0"/>
              <w:kinsoku/>
              <w:wordWrap/>
              <w:overflowPunct/>
              <w:topLinePunct w:val="0"/>
              <w:autoSpaceDE/>
              <w:autoSpaceDN/>
              <w:bidi w:val="0"/>
              <w:adjustRightInd/>
              <w:snapToGrid w:val="0"/>
              <w:spacing w:line="640" w:lineRule="exact"/>
              <w:jc w:val="distribute"/>
              <w:textAlignment w:val="auto"/>
              <w:rPr>
                <w:rFonts w:hint="default" w:ascii="Times New Roman" w:hAnsi="Times New Roman" w:eastAsia="方正小标宋简体" w:cs="Times New Roman"/>
                <w:bCs/>
                <w:color w:val="FF0000"/>
                <w:w w:val="85"/>
                <w:sz w:val="60"/>
                <w:szCs w:val="60"/>
              </w:rPr>
            </w:pPr>
            <w:r>
              <w:rPr>
                <w:rFonts w:hint="default" w:ascii="Times New Roman" w:hAnsi="Times New Roman" w:eastAsia="方正小标宋简体" w:cs="Times New Roman"/>
                <w:bCs/>
                <w:color w:val="FF0000"/>
                <w:w w:val="85"/>
                <w:sz w:val="60"/>
                <w:szCs w:val="60"/>
              </w:rPr>
              <w:t>衡阳市委宣传部</w:t>
            </w:r>
          </w:p>
        </w:tc>
        <w:tc>
          <w:tcPr>
            <w:tcW w:w="720" w:type="pct"/>
            <w:vMerge w:val="continue"/>
            <w:noWrap w:val="0"/>
            <w:vAlign w:val="center"/>
          </w:tcPr>
          <w:p w14:paraId="302DC2DB">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hint="default" w:ascii="Times New Roman" w:hAnsi="Times New Roman" w:eastAsia="仿宋_GB2312" w:cs="Times New Roman"/>
                <w:b/>
                <w:color w:val="FF0000"/>
                <w:w w:val="85"/>
                <w:sz w:val="60"/>
                <w:szCs w:val="60"/>
              </w:rPr>
            </w:pPr>
          </w:p>
        </w:tc>
      </w:tr>
      <w:tr w14:paraId="4D086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5" w:hRule="atLeast"/>
        </w:trPr>
        <w:tc>
          <w:tcPr>
            <w:tcW w:w="4279" w:type="pct"/>
            <w:noWrap w:val="0"/>
            <w:vAlign w:val="center"/>
          </w:tcPr>
          <w:p w14:paraId="3209558F">
            <w:pPr>
              <w:keepNext w:val="0"/>
              <w:keepLines w:val="0"/>
              <w:pageBreakBefore w:val="0"/>
              <w:widowControl w:val="0"/>
              <w:kinsoku/>
              <w:wordWrap/>
              <w:overflowPunct/>
              <w:topLinePunct w:val="0"/>
              <w:autoSpaceDE/>
              <w:autoSpaceDN/>
              <w:bidi w:val="0"/>
              <w:adjustRightInd/>
              <w:snapToGrid w:val="0"/>
              <w:spacing w:line="640" w:lineRule="exact"/>
              <w:jc w:val="distribute"/>
              <w:textAlignment w:val="auto"/>
              <w:rPr>
                <w:rFonts w:hint="default" w:ascii="Times New Roman" w:hAnsi="Times New Roman" w:eastAsia="方正小标宋简体" w:cs="Times New Roman"/>
                <w:bCs/>
                <w:color w:val="FF0000"/>
                <w:w w:val="85"/>
                <w:sz w:val="60"/>
                <w:szCs w:val="60"/>
              </w:rPr>
            </w:pPr>
            <w:r>
              <w:rPr>
                <w:rFonts w:hint="default" w:ascii="Times New Roman" w:hAnsi="Times New Roman" w:eastAsia="方正小标宋简体" w:cs="Times New Roman"/>
                <w:bCs/>
                <w:color w:val="FF0000"/>
                <w:w w:val="65"/>
                <w:sz w:val="60"/>
                <w:szCs w:val="60"/>
              </w:rPr>
              <w:t>衡阳市委网络安全和信息化委员会办公室</w:t>
            </w:r>
          </w:p>
        </w:tc>
        <w:tc>
          <w:tcPr>
            <w:tcW w:w="720" w:type="pct"/>
            <w:vMerge w:val="continue"/>
            <w:noWrap w:val="0"/>
            <w:vAlign w:val="center"/>
          </w:tcPr>
          <w:p w14:paraId="32291D4B">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hint="default" w:ascii="Times New Roman" w:hAnsi="Times New Roman" w:eastAsia="仿宋_GB2312" w:cs="Times New Roman"/>
                <w:b/>
                <w:color w:val="FF0000"/>
                <w:w w:val="85"/>
                <w:sz w:val="60"/>
                <w:szCs w:val="60"/>
              </w:rPr>
            </w:pPr>
          </w:p>
        </w:tc>
      </w:tr>
      <w:tr w14:paraId="48791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5" w:hRule="atLeast"/>
        </w:trPr>
        <w:tc>
          <w:tcPr>
            <w:tcW w:w="4279" w:type="pct"/>
            <w:noWrap w:val="0"/>
            <w:vAlign w:val="center"/>
          </w:tcPr>
          <w:p w14:paraId="44D7EAA6">
            <w:pPr>
              <w:keepNext w:val="0"/>
              <w:keepLines w:val="0"/>
              <w:pageBreakBefore w:val="0"/>
              <w:widowControl w:val="0"/>
              <w:kinsoku/>
              <w:wordWrap/>
              <w:overflowPunct/>
              <w:topLinePunct w:val="0"/>
              <w:autoSpaceDE/>
              <w:autoSpaceDN/>
              <w:bidi w:val="0"/>
              <w:adjustRightInd/>
              <w:snapToGrid w:val="0"/>
              <w:spacing w:line="640" w:lineRule="exact"/>
              <w:jc w:val="distribute"/>
              <w:textAlignment w:val="auto"/>
              <w:rPr>
                <w:rFonts w:hint="default" w:ascii="Times New Roman" w:hAnsi="Times New Roman" w:eastAsia="方正小标宋简体" w:cs="Times New Roman"/>
                <w:bCs/>
                <w:color w:val="FF0000"/>
                <w:w w:val="85"/>
                <w:sz w:val="60"/>
                <w:szCs w:val="60"/>
              </w:rPr>
            </w:pPr>
            <w:r>
              <w:rPr>
                <w:rFonts w:hint="default" w:ascii="Times New Roman" w:hAnsi="Times New Roman" w:eastAsia="方正小标宋简体" w:cs="Times New Roman"/>
                <w:bCs/>
                <w:color w:val="FF0000"/>
                <w:w w:val="85"/>
                <w:sz w:val="60"/>
                <w:szCs w:val="60"/>
              </w:rPr>
              <w:t>衡阳市中级人民法院</w:t>
            </w:r>
          </w:p>
        </w:tc>
        <w:tc>
          <w:tcPr>
            <w:tcW w:w="720" w:type="pct"/>
            <w:vMerge w:val="continue"/>
            <w:noWrap w:val="0"/>
            <w:vAlign w:val="center"/>
          </w:tcPr>
          <w:p w14:paraId="400C1752">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hint="default" w:ascii="Times New Roman" w:hAnsi="Times New Roman" w:eastAsia="仿宋_GB2312" w:cs="Times New Roman"/>
                <w:b/>
                <w:color w:val="FF0000"/>
                <w:w w:val="85"/>
                <w:sz w:val="60"/>
                <w:szCs w:val="60"/>
              </w:rPr>
            </w:pPr>
          </w:p>
        </w:tc>
      </w:tr>
      <w:tr w14:paraId="42E1D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5" w:hRule="atLeast"/>
        </w:trPr>
        <w:tc>
          <w:tcPr>
            <w:tcW w:w="4279" w:type="pct"/>
            <w:noWrap w:val="0"/>
            <w:vAlign w:val="center"/>
          </w:tcPr>
          <w:p w14:paraId="7837D3E3">
            <w:pPr>
              <w:keepNext w:val="0"/>
              <w:keepLines w:val="0"/>
              <w:pageBreakBefore w:val="0"/>
              <w:widowControl w:val="0"/>
              <w:kinsoku/>
              <w:wordWrap/>
              <w:overflowPunct/>
              <w:topLinePunct w:val="0"/>
              <w:autoSpaceDE/>
              <w:autoSpaceDN/>
              <w:bidi w:val="0"/>
              <w:adjustRightInd/>
              <w:snapToGrid w:val="0"/>
              <w:spacing w:line="640" w:lineRule="exact"/>
              <w:jc w:val="distribute"/>
              <w:textAlignment w:val="auto"/>
              <w:rPr>
                <w:rFonts w:hint="default" w:ascii="Times New Roman" w:hAnsi="Times New Roman" w:eastAsia="方正小标宋简体" w:cs="Times New Roman"/>
                <w:bCs/>
                <w:color w:val="FF0000"/>
                <w:w w:val="85"/>
                <w:sz w:val="60"/>
                <w:szCs w:val="60"/>
              </w:rPr>
            </w:pPr>
            <w:r>
              <w:rPr>
                <w:rFonts w:hint="default" w:ascii="Times New Roman" w:hAnsi="Times New Roman" w:eastAsia="方正小标宋简体" w:cs="Times New Roman"/>
                <w:bCs/>
                <w:color w:val="FF0000"/>
                <w:w w:val="85"/>
                <w:sz w:val="60"/>
                <w:szCs w:val="60"/>
              </w:rPr>
              <w:t>衡阳市</w:t>
            </w:r>
            <w:r>
              <w:rPr>
                <w:rFonts w:hint="eastAsia" w:ascii="Times New Roman" w:hAnsi="Times New Roman" w:eastAsia="方正小标宋简体" w:cs="Times New Roman"/>
                <w:bCs/>
                <w:color w:val="FF0000"/>
                <w:w w:val="85"/>
                <w:sz w:val="60"/>
                <w:szCs w:val="60"/>
                <w:lang w:eastAsia="zh-CN"/>
              </w:rPr>
              <w:t>发展和改革委员会</w:t>
            </w:r>
          </w:p>
        </w:tc>
        <w:tc>
          <w:tcPr>
            <w:tcW w:w="720" w:type="pct"/>
            <w:vMerge w:val="continue"/>
            <w:noWrap w:val="0"/>
            <w:vAlign w:val="center"/>
          </w:tcPr>
          <w:p w14:paraId="29E71976">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hint="default" w:ascii="Times New Roman" w:hAnsi="Times New Roman" w:eastAsia="仿宋_GB2312" w:cs="Times New Roman"/>
                <w:b/>
                <w:color w:val="FF0000"/>
                <w:w w:val="85"/>
                <w:sz w:val="60"/>
                <w:szCs w:val="60"/>
              </w:rPr>
            </w:pPr>
          </w:p>
        </w:tc>
      </w:tr>
      <w:tr w14:paraId="37CCD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5" w:hRule="atLeast"/>
        </w:trPr>
        <w:tc>
          <w:tcPr>
            <w:tcW w:w="4279" w:type="pct"/>
            <w:noWrap w:val="0"/>
            <w:vAlign w:val="center"/>
          </w:tcPr>
          <w:p w14:paraId="46C549AA">
            <w:pPr>
              <w:keepNext w:val="0"/>
              <w:keepLines w:val="0"/>
              <w:pageBreakBefore w:val="0"/>
              <w:widowControl w:val="0"/>
              <w:kinsoku/>
              <w:wordWrap/>
              <w:overflowPunct/>
              <w:topLinePunct w:val="0"/>
              <w:autoSpaceDE/>
              <w:autoSpaceDN/>
              <w:bidi w:val="0"/>
              <w:adjustRightInd/>
              <w:snapToGrid w:val="0"/>
              <w:spacing w:line="640" w:lineRule="exact"/>
              <w:jc w:val="distribute"/>
              <w:textAlignment w:val="auto"/>
              <w:rPr>
                <w:rFonts w:hint="default" w:ascii="Times New Roman" w:hAnsi="Times New Roman" w:eastAsia="方正小标宋简体" w:cs="Times New Roman"/>
                <w:bCs/>
                <w:color w:val="FF0000"/>
                <w:w w:val="85"/>
                <w:sz w:val="60"/>
                <w:szCs w:val="60"/>
              </w:rPr>
            </w:pPr>
            <w:r>
              <w:rPr>
                <w:rFonts w:hint="default" w:ascii="Times New Roman" w:hAnsi="Times New Roman" w:eastAsia="方正小标宋简体" w:cs="Times New Roman"/>
                <w:bCs/>
                <w:color w:val="FF0000"/>
                <w:w w:val="85"/>
                <w:sz w:val="60"/>
                <w:szCs w:val="60"/>
              </w:rPr>
              <w:t>衡阳市民族宗教事务局</w:t>
            </w:r>
          </w:p>
        </w:tc>
        <w:tc>
          <w:tcPr>
            <w:tcW w:w="720" w:type="pct"/>
            <w:vMerge w:val="continue"/>
            <w:noWrap w:val="0"/>
            <w:vAlign w:val="center"/>
          </w:tcPr>
          <w:p w14:paraId="67F8D8F0">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hint="default" w:ascii="Times New Roman" w:hAnsi="Times New Roman" w:eastAsia="仿宋_GB2312" w:cs="Times New Roman"/>
                <w:b/>
                <w:color w:val="FF0000"/>
                <w:w w:val="85"/>
                <w:sz w:val="60"/>
                <w:szCs w:val="60"/>
              </w:rPr>
            </w:pPr>
          </w:p>
        </w:tc>
      </w:tr>
      <w:tr w14:paraId="269DA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5" w:hRule="atLeast"/>
        </w:trPr>
        <w:tc>
          <w:tcPr>
            <w:tcW w:w="4279" w:type="pct"/>
            <w:noWrap w:val="0"/>
            <w:vAlign w:val="center"/>
          </w:tcPr>
          <w:p w14:paraId="03EF427C">
            <w:pPr>
              <w:keepNext w:val="0"/>
              <w:keepLines w:val="0"/>
              <w:pageBreakBefore w:val="0"/>
              <w:widowControl w:val="0"/>
              <w:kinsoku/>
              <w:wordWrap/>
              <w:overflowPunct/>
              <w:topLinePunct w:val="0"/>
              <w:autoSpaceDE/>
              <w:autoSpaceDN/>
              <w:bidi w:val="0"/>
              <w:adjustRightInd/>
              <w:snapToGrid w:val="0"/>
              <w:spacing w:line="640" w:lineRule="exact"/>
              <w:jc w:val="distribute"/>
              <w:textAlignment w:val="auto"/>
              <w:rPr>
                <w:rFonts w:hint="default" w:ascii="Times New Roman" w:hAnsi="Times New Roman" w:eastAsia="方正小标宋简体" w:cs="Times New Roman"/>
                <w:bCs/>
                <w:color w:val="FF0000"/>
                <w:w w:val="85"/>
                <w:sz w:val="60"/>
                <w:szCs w:val="60"/>
                <w:lang w:eastAsia="zh-CN"/>
              </w:rPr>
            </w:pPr>
            <w:r>
              <w:rPr>
                <w:rFonts w:hint="default" w:ascii="Times New Roman" w:hAnsi="Times New Roman" w:eastAsia="方正小标宋简体" w:cs="Times New Roman"/>
                <w:bCs/>
                <w:color w:val="FF0000"/>
                <w:w w:val="85"/>
                <w:sz w:val="60"/>
                <w:szCs w:val="60"/>
              </w:rPr>
              <w:t>衡阳市公安局</w:t>
            </w:r>
          </w:p>
        </w:tc>
        <w:tc>
          <w:tcPr>
            <w:tcW w:w="720" w:type="pct"/>
            <w:vMerge w:val="continue"/>
            <w:noWrap w:val="0"/>
            <w:vAlign w:val="center"/>
          </w:tcPr>
          <w:p w14:paraId="16761DCD">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hint="default" w:ascii="Times New Roman" w:hAnsi="Times New Roman" w:eastAsia="仿宋_GB2312" w:cs="Times New Roman"/>
                <w:b/>
                <w:color w:val="FF0000"/>
                <w:w w:val="85"/>
                <w:sz w:val="60"/>
                <w:szCs w:val="60"/>
              </w:rPr>
            </w:pPr>
          </w:p>
        </w:tc>
      </w:tr>
      <w:tr w14:paraId="232CD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5" w:hRule="atLeast"/>
        </w:trPr>
        <w:tc>
          <w:tcPr>
            <w:tcW w:w="4279" w:type="pct"/>
            <w:noWrap w:val="0"/>
            <w:vAlign w:val="center"/>
          </w:tcPr>
          <w:p w14:paraId="73F6CC44">
            <w:pPr>
              <w:keepNext w:val="0"/>
              <w:keepLines w:val="0"/>
              <w:pageBreakBefore w:val="0"/>
              <w:widowControl w:val="0"/>
              <w:kinsoku/>
              <w:wordWrap/>
              <w:overflowPunct/>
              <w:topLinePunct w:val="0"/>
              <w:autoSpaceDE/>
              <w:autoSpaceDN/>
              <w:bidi w:val="0"/>
              <w:adjustRightInd/>
              <w:snapToGrid w:val="0"/>
              <w:spacing w:line="640" w:lineRule="exact"/>
              <w:jc w:val="distribute"/>
              <w:textAlignment w:val="auto"/>
              <w:rPr>
                <w:rFonts w:hint="eastAsia" w:ascii="Times New Roman" w:hAnsi="Times New Roman" w:eastAsia="方正小标宋简体" w:cs="Times New Roman"/>
                <w:bCs/>
                <w:color w:val="FF0000"/>
                <w:w w:val="85"/>
                <w:sz w:val="60"/>
                <w:szCs w:val="60"/>
                <w:lang w:val="en-US" w:eastAsia="zh-CN"/>
              </w:rPr>
            </w:pPr>
            <w:r>
              <w:rPr>
                <w:rFonts w:hint="eastAsia" w:ascii="Times New Roman" w:hAnsi="Times New Roman" w:eastAsia="方正小标宋简体" w:cs="Times New Roman"/>
                <w:bCs/>
                <w:color w:val="FF0000"/>
                <w:w w:val="85"/>
                <w:sz w:val="60"/>
                <w:szCs w:val="60"/>
                <w:lang w:val="en-US" w:eastAsia="zh-CN"/>
              </w:rPr>
              <w:t>衡阳市财政局</w:t>
            </w:r>
          </w:p>
        </w:tc>
        <w:tc>
          <w:tcPr>
            <w:tcW w:w="720" w:type="pct"/>
            <w:vMerge w:val="continue"/>
            <w:noWrap w:val="0"/>
            <w:vAlign w:val="center"/>
          </w:tcPr>
          <w:p w14:paraId="02D7DC6B">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hint="default" w:ascii="Times New Roman" w:hAnsi="Times New Roman" w:eastAsia="仿宋_GB2312" w:cs="Times New Roman"/>
                <w:b/>
                <w:color w:val="FF0000"/>
                <w:w w:val="85"/>
                <w:sz w:val="60"/>
                <w:szCs w:val="60"/>
              </w:rPr>
            </w:pPr>
          </w:p>
        </w:tc>
      </w:tr>
      <w:tr w14:paraId="6F3DE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5" w:hRule="atLeast"/>
        </w:trPr>
        <w:tc>
          <w:tcPr>
            <w:tcW w:w="4279" w:type="pct"/>
            <w:noWrap w:val="0"/>
            <w:vAlign w:val="center"/>
          </w:tcPr>
          <w:p w14:paraId="7386E718">
            <w:pPr>
              <w:keepNext w:val="0"/>
              <w:keepLines w:val="0"/>
              <w:pageBreakBefore w:val="0"/>
              <w:widowControl w:val="0"/>
              <w:kinsoku/>
              <w:wordWrap/>
              <w:overflowPunct/>
              <w:topLinePunct w:val="0"/>
              <w:autoSpaceDE/>
              <w:autoSpaceDN/>
              <w:bidi w:val="0"/>
              <w:adjustRightInd/>
              <w:snapToGrid w:val="0"/>
              <w:spacing w:line="640" w:lineRule="exact"/>
              <w:jc w:val="distribute"/>
              <w:textAlignment w:val="auto"/>
              <w:rPr>
                <w:rFonts w:hint="default" w:ascii="Times New Roman" w:hAnsi="Times New Roman" w:eastAsia="方正小标宋简体" w:cs="Times New Roman"/>
                <w:bCs/>
                <w:color w:val="FF0000"/>
                <w:w w:val="85"/>
                <w:sz w:val="60"/>
                <w:szCs w:val="60"/>
                <w:lang w:eastAsia="zh-CN"/>
              </w:rPr>
            </w:pPr>
            <w:r>
              <w:rPr>
                <w:rFonts w:hint="default" w:ascii="Times New Roman" w:hAnsi="Times New Roman" w:eastAsia="方正小标宋简体" w:cs="Times New Roman"/>
                <w:bCs/>
                <w:color w:val="FF0000"/>
                <w:w w:val="85"/>
                <w:sz w:val="60"/>
                <w:szCs w:val="60"/>
                <w:lang w:eastAsia="zh-CN"/>
              </w:rPr>
              <w:t>衡阳市自然资源和规划局</w:t>
            </w:r>
          </w:p>
        </w:tc>
        <w:tc>
          <w:tcPr>
            <w:tcW w:w="720" w:type="pct"/>
            <w:vMerge w:val="continue"/>
            <w:noWrap w:val="0"/>
            <w:vAlign w:val="center"/>
          </w:tcPr>
          <w:p w14:paraId="3F5C519E">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hint="default" w:ascii="Times New Roman" w:hAnsi="Times New Roman" w:eastAsia="仿宋_GB2312" w:cs="Times New Roman"/>
                <w:b/>
                <w:color w:val="FF0000"/>
                <w:w w:val="85"/>
                <w:sz w:val="60"/>
                <w:szCs w:val="60"/>
              </w:rPr>
            </w:pPr>
          </w:p>
        </w:tc>
      </w:tr>
      <w:tr w14:paraId="08D11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5" w:hRule="atLeast"/>
        </w:trPr>
        <w:tc>
          <w:tcPr>
            <w:tcW w:w="4279" w:type="pct"/>
            <w:noWrap w:val="0"/>
            <w:vAlign w:val="center"/>
          </w:tcPr>
          <w:p w14:paraId="4E1C005E">
            <w:pPr>
              <w:keepNext w:val="0"/>
              <w:keepLines w:val="0"/>
              <w:pageBreakBefore w:val="0"/>
              <w:widowControl w:val="0"/>
              <w:kinsoku/>
              <w:wordWrap/>
              <w:overflowPunct/>
              <w:topLinePunct w:val="0"/>
              <w:autoSpaceDE/>
              <w:autoSpaceDN/>
              <w:bidi w:val="0"/>
              <w:adjustRightInd/>
              <w:snapToGrid w:val="0"/>
              <w:spacing w:line="640" w:lineRule="exact"/>
              <w:jc w:val="distribute"/>
              <w:textAlignment w:val="auto"/>
              <w:rPr>
                <w:rFonts w:hint="default" w:ascii="Times New Roman" w:hAnsi="Times New Roman" w:eastAsia="方正小标宋简体" w:cs="Times New Roman"/>
                <w:bCs/>
                <w:color w:val="FF0000"/>
                <w:w w:val="85"/>
                <w:sz w:val="60"/>
                <w:szCs w:val="60"/>
                <w:lang w:eastAsia="zh-CN"/>
              </w:rPr>
            </w:pPr>
            <w:r>
              <w:rPr>
                <w:rFonts w:hint="default" w:ascii="Times New Roman" w:hAnsi="Times New Roman" w:eastAsia="方正小标宋简体" w:cs="Times New Roman"/>
                <w:bCs/>
                <w:color w:val="FF0000"/>
                <w:w w:val="85"/>
                <w:sz w:val="60"/>
                <w:szCs w:val="60"/>
                <w:lang w:eastAsia="zh-CN"/>
              </w:rPr>
              <w:t>衡阳市生态环境局</w:t>
            </w:r>
          </w:p>
        </w:tc>
        <w:tc>
          <w:tcPr>
            <w:tcW w:w="720" w:type="pct"/>
            <w:vMerge w:val="continue"/>
            <w:noWrap w:val="0"/>
            <w:vAlign w:val="center"/>
          </w:tcPr>
          <w:p w14:paraId="66CE4594">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hint="default" w:ascii="Times New Roman" w:hAnsi="Times New Roman" w:eastAsia="仿宋_GB2312" w:cs="Times New Roman"/>
                <w:b/>
                <w:color w:val="FF0000"/>
                <w:w w:val="85"/>
                <w:sz w:val="60"/>
                <w:szCs w:val="60"/>
              </w:rPr>
            </w:pPr>
          </w:p>
        </w:tc>
      </w:tr>
      <w:tr w14:paraId="6E07D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5" w:hRule="atLeast"/>
        </w:trPr>
        <w:tc>
          <w:tcPr>
            <w:tcW w:w="4279" w:type="pct"/>
            <w:noWrap w:val="0"/>
            <w:vAlign w:val="center"/>
          </w:tcPr>
          <w:p w14:paraId="05117810">
            <w:pPr>
              <w:keepNext w:val="0"/>
              <w:keepLines w:val="0"/>
              <w:pageBreakBefore w:val="0"/>
              <w:widowControl w:val="0"/>
              <w:kinsoku/>
              <w:wordWrap/>
              <w:overflowPunct/>
              <w:topLinePunct w:val="0"/>
              <w:autoSpaceDE/>
              <w:autoSpaceDN/>
              <w:bidi w:val="0"/>
              <w:adjustRightInd/>
              <w:snapToGrid w:val="0"/>
              <w:spacing w:line="640" w:lineRule="exact"/>
              <w:jc w:val="distribute"/>
              <w:textAlignment w:val="auto"/>
              <w:rPr>
                <w:rFonts w:hint="default" w:ascii="Times New Roman" w:hAnsi="Times New Roman" w:eastAsia="方正小标宋简体" w:cs="Times New Roman"/>
                <w:bCs/>
                <w:color w:val="FF0000"/>
                <w:w w:val="85"/>
                <w:sz w:val="60"/>
                <w:szCs w:val="60"/>
                <w:lang w:eastAsia="zh-CN"/>
              </w:rPr>
            </w:pPr>
            <w:r>
              <w:rPr>
                <w:rFonts w:hint="default" w:ascii="Times New Roman" w:hAnsi="Times New Roman" w:eastAsia="方正小标宋简体" w:cs="Times New Roman"/>
                <w:bCs/>
                <w:color w:val="FF0000"/>
                <w:w w:val="85"/>
                <w:sz w:val="60"/>
                <w:szCs w:val="60"/>
                <w:lang w:eastAsia="zh-CN"/>
              </w:rPr>
              <w:t>衡阳市住房和城乡建设局</w:t>
            </w:r>
          </w:p>
        </w:tc>
        <w:tc>
          <w:tcPr>
            <w:tcW w:w="720" w:type="pct"/>
            <w:vMerge w:val="continue"/>
            <w:noWrap w:val="0"/>
            <w:vAlign w:val="center"/>
          </w:tcPr>
          <w:p w14:paraId="27B6FD6E">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hint="default" w:ascii="Times New Roman" w:hAnsi="Times New Roman" w:eastAsia="仿宋_GB2312" w:cs="Times New Roman"/>
                <w:b/>
                <w:color w:val="FF0000"/>
                <w:w w:val="85"/>
                <w:sz w:val="60"/>
                <w:szCs w:val="60"/>
              </w:rPr>
            </w:pPr>
          </w:p>
        </w:tc>
      </w:tr>
      <w:tr w14:paraId="284F8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5" w:hRule="atLeast"/>
        </w:trPr>
        <w:tc>
          <w:tcPr>
            <w:tcW w:w="4279" w:type="pct"/>
            <w:noWrap w:val="0"/>
            <w:vAlign w:val="center"/>
          </w:tcPr>
          <w:p w14:paraId="17B28D75">
            <w:pPr>
              <w:keepNext w:val="0"/>
              <w:keepLines w:val="0"/>
              <w:pageBreakBefore w:val="0"/>
              <w:widowControl w:val="0"/>
              <w:kinsoku/>
              <w:wordWrap/>
              <w:overflowPunct/>
              <w:topLinePunct w:val="0"/>
              <w:autoSpaceDE/>
              <w:autoSpaceDN/>
              <w:bidi w:val="0"/>
              <w:adjustRightInd/>
              <w:snapToGrid w:val="0"/>
              <w:spacing w:line="640" w:lineRule="exact"/>
              <w:jc w:val="distribute"/>
              <w:textAlignment w:val="auto"/>
              <w:rPr>
                <w:rFonts w:hint="default" w:ascii="Times New Roman" w:hAnsi="Times New Roman" w:eastAsia="方正小标宋简体" w:cs="Times New Roman"/>
                <w:bCs/>
                <w:color w:val="FF0000"/>
                <w:w w:val="85"/>
                <w:sz w:val="60"/>
                <w:szCs w:val="60"/>
                <w:lang w:eastAsia="zh-CN"/>
              </w:rPr>
            </w:pPr>
            <w:r>
              <w:rPr>
                <w:rFonts w:hint="default" w:ascii="Times New Roman" w:hAnsi="Times New Roman" w:eastAsia="方正小标宋简体" w:cs="Times New Roman"/>
                <w:bCs/>
                <w:color w:val="FF0000"/>
                <w:w w:val="85"/>
                <w:sz w:val="60"/>
                <w:szCs w:val="60"/>
                <w:lang w:eastAsia="zh-CN"/>
              </w:rPr>
              <w:t>衡阳市农业农村局</w:t>
            </w:r>
          </w:p>
        </w:tc>
        <w:tc>
          <w:tcPr>
            <w:tcW w:w="720" w:type="pct"/>
            <w:vMerge w:val="continue"/>
            <w:noWrap w:val="0"/>
            <w:vAlign w:val="center"/>
          </w:tcPr>
          <w:p w14:paraId="1A464252">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hint="default" w:ascii="Times New Roman" w:hAnsi="Times New Roman" w:eastAsia="仿宋_GB2312" w:cs="Times New Roman"/>
                <w:b/>
                <w:color w:val="FF0000"/>
                <w:w w:val="85"/>
                <w:sz w:val="60"/>
                <w:szCs w:val="60"/>
              </w:rPr>
            </w:pPr>
          </w:p>
        </w:tc>
      </w:tr>
      <w:tr w14:paraId="67098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5" w:hRule="atLeast"/>
        </w:trPr>
        <w:tc>
          <w:tcPr>
            <w:tcW w:w="4279" w:type="pct"/>
            <w:noWrap w:val="0"/>
            <w:vAlign w:val="center"/>
          </w:tcPr>
          <w:p w14:paraId="1F2C97B9">
            <w:pPr>
              <w:keepNext w:val="0"/>
              <w:keepLines w:val="0"/>
              <w:pageBreakBefore w:val="0"/>
              <w:widowControl w:val="0"/>
              <w:kinsoku/>
              <w:wordWrap/>
              <w:overflowPunct/>
              <w:topLinePunct w:val="0"/>
              <w:autoSpaceDE/>
              <w:autoSpaceDN/>
              <w:bidi w:val="0"/>
              <w:adjustRightInd/>
              <w:snapToGrid w:val="0"/>
              <w:spacing w:line="640" w:lineRule="exact"/>
              <w:jc w:val="distribute"/>
              <w:textAlignment w:val="auto"/>
              <w:rPr>
                <w:rFonts w:hint="default" w:ascii="Times New Roman" w:hAnsi="Times New Roman" w:eastAsia="方正小标宋简体" w:cs="Times New Roman"/>
                <w:bCs/>
                <w:color w:val="FF0000"/>
                <w:w w:val="85"/>
                <w:sz w:val="60"/>
                <w:szCs w:val="60"/>
                <w:lang w:eastAsia="zh-CN"/>
              </w:rPr>
            </w:pPr>
            <w:r>
              <w:rPr>
                <w:rFonts w:hint="default" w:ascii="Times New Roman" w:hAnsi="Times New Roman" w:eastAsia="方正小标宋简体" w:cs="Times New Roman"/>
                <w:bCs/>
                <w:color w:val="FF0000"/>
                <w:w w:val="85"/>
                <w:sz w:val="60"/>
                <w:szCs w:val="60"/>
                <w:lang w:eastAsia="zh-CN"/>
              </w:rPr>
              <w:t>衡阳市卫生健康委员会</w:t>
            </w:r>
          </w:p>
        </w:tc>
        <w:tc>
          <w:tcPr>
            <w:tcW w:w="720" w:type="pct"/>
            <w:vMerge w:val="continue"/>
            <w:noWrap w:val="0"/>
            <w:vAlign w:val="center"/>
          </w:tcPr>
          <w:p w14:paraId="07C7C1D5">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hint="default" w:ascii="Times New Roman" w:hAnsi="Times New Roman" w:eastAsia="仿宋_GB2312" w:cs="Times New Roman"/>
                <w:b/>
                <w:color w:val="FF0000"/>
                <w:w w:val="85"/>
                <w:sz w:val="60"/>
                <w:szCs w:val="60"/>
              </w:rPr>
            </w:pPr>
          </w:p>
        </w:tc>
      </w:tr>
      <w:tr w14:paraId="640F8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5" w:hRule="atLeast"/>
        </w:trPr>
        <w:tc>
          <w:tcPr>
            <w:tcW w:w="4279" w:type="pct"/>
            <w:noWrap w:val="0"/>
            <w:vAlign w:val="center"/>
          </w:tcPr>
          <w:p w14:paraId="434F3972">
            <w:pPr>
              <w:keepNext w:val="0"/>
              <w:keepLines w:val="0"/>
              <w:pageBreakBefore w:val="0"/>
              <w:widowControl w:val="0"/>
              <w:kinsoku/>
              <w:wordWrap/>
              <w:overflowPunct/>
              <w:topLinePunct w:val="0"/>
              <w:autoSpaceDE/>
              <w:autoSpaceDN/>
              <w:bidi w:val="0"/>
              <w:adjustRightInd/>
              <w:snapToGrid w:val="0"/>
              <w:spacing w:line="640" w:lineRule="exact"/>
              <w:jc w:val="distribute"/>
              <w:textAlignment w:val="auto"/>
              <w:rPr>
                <w:rFonts w:hint="default" w:ascii="Times New Roman" w:hAnsi="Times New Roman" w:eastAsia="方正小标宋简体" w:cs="Times New Roman"/>
                <w:bCs/>
                <w:color w:val="FF0000"/>
                <w:w w:val="85"/>
                <w:sz w:val="60"/>
                <w:szCs w:val="60"/>
                <w:lang w:eastAsia="zh-CN"/>
              </w:rPr>
            </w:pPr>
            <w:r>
              <w:rPr>
                <w:rFonts w:hint="eastAsia" w:ascii="Times New Roman" w:hAnsi="Times New Roman" w:eastAsia="方正小标宋简体" w:cs="Times New Roman"/>
                <w:bCs/>
                <w:color w:val="FF0000"/>
                <w:w w:val="85"/>
                <w:sz w:val="60"/>
                <w:szCs w:val="60"/>
                <w:lang w:eastAsia="zh-CN"/>
              </w:rPr>
              <w:t>中国人民银行衡阳市分行</w:t>
            </w:r>
          </w:p>
        </w:tc>
        <w:tc>
          <w:tcPr>
            <w:tcW w:w="720" w:type="pct"/>
            <w:vMerge w:val="continue"/>
            <w:noWrap w:val="0"/>
            <w:vAlign w:val="center"/>
          </w:tcPr>
          <w:p w14:paraId="43627F48">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hint="default" w:ascii="Times New Roman" w:hAnsi="Times New Roman" w:eastAsia="仿宋_GB2312" w:cs="Times New Roman"/>
                <w:b/>
                <w:color w:val="FF0000"/>
                <w:w w:val="85"/>
                <w:sz w:val="60"/>
                <w:szCs w:val="60"/>
              </w:rPr>
            </w:pPr>
          </w:p>
        </w:tc>
      </w:tr>
      <w:tr w14:paraId="55301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5" w:hRule="atLeast"/>
        </w:trPr>
        <w:tc>
          <w:tcPr>
            <w:tcW w:w="4279" w:type="pct"/>
            <w:noWrap w:val="0"/>
            <w:vAlign w:val="center"/>
          </w:tcPr>
          <w:p w14:paraId="4CEA20CF">
            <w:pPr>
              <w:keepNext w:val="0"/>
              <w:keepLines w:val="0"/>
              <w:pageBreakBefore w:val="0"/>
              <w:widowControl w:val="0"/>
              <w:kinsoku/>
              <w:wordWrap/>
              <w:overflowPunct/>
              <w:topLinePunct w:val="0"/>
              <w:autoSpaceDE/>
              <w:autoSpaceDN/>
              <w:bidi w:val="0"/>
              <w:adjustRightInd/>
              <w:snapToGrid w:val="0"/>
              <w:spacing w:line="640" w:lineRule="exact"/>
              <w:jc w:val="distribute"/>
              <w:textAlignment w:val="auto"/>
              <w:rPr>
                <w:rFonts w:hint="default" w:ascii="Times New Roman" w:hAnsi="Times New Roman" w:eastAsia="方正小标宋简体" w:cs="Times New Roman"/>
                <w:bCs/>
                <w:color w:val="FF0000"/>
                <w:w w:val="85"/>
                <w:sz w:val="60"/>
                <w:szCs w:val="60"/>
                <w:lang w:eastAsia="zh-CN"/>
              </w:rPr>
            </w:pPr>
            <w:r>
              <w:rPr>
                <w:rFonts w:hint="default" w:ascii="Times New Roman" w:hAnsi="Times New Roman" w:eastAsia="方正小标宋简体" w:cs="Times New Roman"/>
                <w:bCs/>
                <w:color w:val="FF0000"/>
                <w:w w:val="85"/>
                <w:sz w:val="60"/>
                <w:szCs w:val="60"/>
                <w:lang w:eastAsia="zh-CN"/>
              </w:rPr>
              <w:t>衡阳市市场监督管理局</w:t>
            </w:r>
          </w:p>
        </w:tc>
        <w:tc>
          <w:tcPr>
            <w:tcW w:w="720" w:type="pct"/>
            <w:vMerge w:val="continue"/>
            <w:noWrap w:val="0"/>
            <w:vAlign w:val="center"/>
          </w:tcPr>
          <w:p w14:paraId="771B2271">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hint="default" w:ascii="Times New Roman" w:hAnsi="Times New Roman" w:eastAsia="仿宋_GB2312" w:cs="Times New Roman"/>
                <w:b/>
                <w:color w:val="FF0000"/>
                <w:w w:val="85"/>
                <w:sz w:val="60"/>
                <w:szCs w:val="60"/>
              </w:rPr>
            </w:pPr>
          </w:p>
        </w:tc>
      </w:tr>
      <w:tr w14:paraId="5C9D5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5" w:hRule="atLeast"/>
        </w:trPr>
        <w:tc>
          <w:tcPr>
            <w:tcW w:w="4279" w:type="pct"/>
            <w:noWrap w:val="0"/>
            <w:vAlign w:val="center"/>
          </w:tcPr>
          <w:p w14:paraId="6F4770D1">
            <w:pPr>
              <w:keepNext w:val="0"/>
              <w:keepLines w:val="0"/>
              <w:pageBreakBefore w:val="0"/>
              <w:widowControl w:val="0"/>
              <w:kinsoku/>
              <w:wordWrap/>
              <w:overflowPunct/>
              <w:topLinePunct w:val="0"/>
              <w:autoSpaceDE/>
              <w:autoSpaceDN/>
              <w:bidi w:val="0"/>
              <w:adjustRightInd/>
              <w:snapToGrid w:val="0"/>
              <w:spacing w:line="640" w:lineRule="exact"/>
              <w:jc w:val="distribute"/>
              <w:textAlignment w:val="auto"/>
              <w:rPr>
                <w:rFonts w:hint="default" w:ascii="Times New Roman" w:hAnsi="Times New Roman" w:eastAsia="方正小标宋简体" w:cs="Times New Roman"/>
                <w:bCs/>
                <w:color w:val="FF0000"/>
                <w:w w:val="85"/>
                <w:sz w:val="60"/>
                <w:szCs w:val="60"/>
                <w:lang w:eastAsia="zh-CN"/>
              </w:rPr>
            </w:pPr>
            <w:r>
              <w:rPr>
                <w:rFonts w:hint="default" w:ascii="Times New Roman" w:hAnsi="Times New Roman" w:eastAsia="方正小标宋简体" w:cs="Times New Roman"/>
                <w:bCs/>
                <w:color w:val="FF0000"/>
                <w:w w:val="85"/>
                <w:sz w:val="60"/>
                <w:szCs w:val="60"/>
                <w:lang w:eastAsia="zh-CN"/>
              </w:rPr>
              <w:t>衡阳市林业局</w:t>
            </w:r>
          </w:p>
        </w:tc>
        <w:tc>
          <w:tcPr>
            <w:tcW w:w="720" w:type="pct"/>
            <w:vMerge w:val="continue"/>
            <w:noWrap w:val="0"/>
            <w:vAlign w:val="center"/>
          </w:tcPr>
          <w:p w14:paraId="25F586D7">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hint="default" w:ascii="Times New Roman" w:hAnsi="Times New Roman" w:eastAsia="仿宋_GB2312" w:cs="Times New Roman"/>
                <w:b/>
                <w:color w:val="FF0000"/>
                <w:w w:val="85"/>
                <w:sz w:val="60"/>
                <w:szCs w:val="60"/>
              </w:rPr>
            </w:pPr>
          </w:p>
        </w:tc>
      </w:tr>
      <w:tr w14:paraId="748E3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5" w:hRule="atLeast"/>
        </w:trPr>
        <w:tc>
          <w:tcPr>
            <w:tcW w:w="4279" w:type="pct"/>
            <w:noWrap w:val="0"/>
            <w:vAlign w:val="center"/>
          </w:tcPr>
          <w:p w14:paraId="1040C33C">
            <w:pPr>
              <w:keepNext w:val="0"/>
              <w:keepLines w:val="0"/>
              <w:pageBreakBefore w:val="0"/>
              <w:widowControl w:val="0"/>
              <w:kinsoku/>
              <w:wordWrap/>
              <w:overflowPunct/>
              <w:topLinePunct w:val="0"/>
              <w:autoSpaceDE/>
              <w:autoSpaceDN/>
              <w:bidi w:val="0"/>
              <w:adjustRightInd/>
              <w:snapToGrid w:val="0"/>
              <w:spacing w:line="640" w:lineRule="exact"/>
              <w:jc w:val="distribute"/>
              <w:textAlignment w:val="auto"/>
              <w:rPr>
                <w:rFonts w:hint="default" w:ascii="Times New Roman" w:hAnsi="Times New Roman" w:eastAsia="方正小标宋简体" w:cs="Times New Roman"/>
                <w:bCs/>
                <w:color w:val="FF0000"/>
                <w:w w:val="85"/>
                <w:sz w:val="60"/>
                <w:szCs w:val="60"/>
                <w:lang w:eastAsia="zh-CN"/>
              </w:rPr>
            </w:pPr>
            <w:r>
              <w:rPr>
                <w:rFonts w:hint="default" w:ascii="Times New Roman" w:hAnsi="Times New Roman" w:eastAsia="方正小标宋简体" w:cs="Times New Roman"/>
                <w:bCs/>
                <w:color w:val="FF0000"/>
                <w:w w:val="85"/>
                <w:sz w:val="60"/>
                <w:szCs w:val="60"/>
                <w:lang w:eastAsia="zh-CN"/>
              </w:rPr>
              <w:t>衡阳市城管执法局</w:t>
            </w:r>
          </w:p>
        </w:tc>
        <w:tc>
          <w:tcPr>
            <w:tcW w:w="720" w:type="pct"/>
            <w:noWrap w:val="0"/>
            <w:vAlign w:val="center"/>
          </w:tcPr>
          <w:p w14:paraId="2942C739">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hint="default" w:ascii="Times New Roman" w:hAnsi="Times New Roman" w:eastAsia="仿宋_GB2312" w:cs="Times New Roman"/>
                <w:b/>
                <w:color w:val="FF0000"/>
                <w:w w:val="85"/>
                <w:sz w:val="60"/>
                <w:szCs w:val="60"/>
              </w:rPr>
            </w:pPr>
          </w:p>
        </w:tc>
      </w:tr>
    </w:tbl>
    <w:p w14:paraId="32159C95">
      <w:pPr>
        <w:keepNext w:val="0"/>
        <w:keepLines w:val="0"/>
        <w:pageBreakBefore w:val="0"/>
        <w:kinsoku/>
        <w:overflowPunct/>
        <w:topLinePunct w:val="0"/>
        <w:autoSpaceDE/>
        <w:autoSpaceDN/>
        <w:bidi w:val="0"/>
        <w:adjustRightInd/>
        <w:snapToGrid/>
        <w:spacing w:line="579"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衡民</w:t>
      </w:r>
      <w:r>
        <w:rPr>
          <w:rFonts w:hint="default" w:ascii="Times New Roman" w:hAnsi="Times New Roman" w:eastAsia="仿宋_GB2312" w:cs="Times New Roman"/>
          <w:sz w:val="32"/>
          <w:szCs w:val="32"/>
          <w:lang w:val="en-US" w:eastAsia="zh-CN"/>
        </w:rPr>
        <w:t>发</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25〕</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号</w:t>
      </w:r>
    </w:p>
    <w:p w14:paraId="0871054D">
      <w:pPr>
        <w:jc w:val="center"/>
        <w:rPr>
          <w:rFonts w:hint="default" w:ascii="Times New Roman" w:hAnsi="Times New Roman" w:cs="Times New Roman"/>
          <w:b/>
          <w:sz w:val="34"/>
          <w:szCs w:val="34"/>
        </w:rPr>
      </w:pPr>
      <w:r>
        <w:rPr>
          <w:rFonts w:hint="default" w:ascii="Times New Roman" w:hAnsi="Times New Roman" w:cs="Times New Roman"/>
          <w:sz w:val="34"/>
        </w:rPr>
        <mc:AlternateContent>
          <mc:Choice Requires="wps">
            <w:drawing>
              <wp:anchor distT="0" distB="0" distL="114300" distR="114300" simplePos="0" relativeHeight="251660288" behindDoc="0" locked="0" layoutInCell="1" allowOverlap="1">
                <wp:simplePos x="0" y="0"/>
                <wp:positionH relativeFrom="column">
                  <wp:posOffset>-272415</wp:posOffset>
                </wp:positionH>
                <wp:positionV relativeFrom="paragraph">
                  <wp:posOffset>191135</wp:posOffset>
                </wp:positionV>
                <wp:extent cx="5867400" cy="19050"/>
                <wp:effectExtent l="15875" t="15875" r="22225" b="22225"/>
                <wp:wrapNone/>
                <wp:docPr id="2" name="直接连接符 2"/>
                <wp:cNvGraphicFramePr/>
                <a:graphic xmlns:a="http://schemas.openxmlformats.org/drawingml/2006/main">
                  <a:graphicData uri="http://schemas.microsoft.com/office/word/2010/wordprocessingShape">
                    <wps:wsp>
                      <wps:cNvCnPr/>
                      <wps:spPr>
                        <a:xfrm>
                          <a:off x="1213485" y="5647690"/>
                          <a:ext cx="5867400" cy="19050"/>
                        </a:xfrm>
                        <a:prstGeom prst="line">
                          <a:avLst/>
                        </a:prstGeom>
                        <a:ln w="31750" cap="rnd">
                          <a:solidFill>
                            <a:srgbClr val="FF0000"/>
                          </a:solidFill>
                          <a:roun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1.45pt;margin-top:15.05pt;height:1.5pt;width:462pt;z-index:251660288;mso-width-relative:page;mso-height-relative:page;" filled="f" stroked="t" coordsize="21600,21600" o:gfxdata="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QR5Re1wAAAAkBAAAPAAAAAAAA&#10;AAEAIAAAACIAAABkcnMvZG93bnJldi54bWxQSwECFAAUAAAACACHTuJASIZWKdoBAACFAwAADgAA&#10;AAAAAAABACAAAAAmAQAAZHJzL2Uyb0RvYy54bWxQSwUGAAAAAAYABgBZAQAAcgUAAAAA&#10;">
                <v:fill on="f" focussize="0,0"/>
                <v:stroke weight="2.5pt" color="#FF0000" joinstyle="round" endcap="round"/>
                <v:imagedata o:title=""/>
                <o:lock v:ext="edit" aspectratio="f"/>
              </v:line>
            </w:pict>
          </mc:Fallback>
        </mc:AlternateContent>
      </w:r>
    </w:p>
    <w:p w14:paraId="2C76C374">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方正小标宋_GBK" w:cs="Times New Roman"/>
          <w:b w:val="0"/>
          <w:bCs w:val="0"/>
          <w:sz w:val="44"/>
          <w:szCs w:val="44"/>
          <w:lang w:eastAsia="zh-CN"/>
        </w:rPr>
      </w:pPr>
      <w:r>
        <w:rPr>
          <w:rFonts w:hint="default" w:ascii="Times New Roman" w:hAnsi="Times New Roman" w:eastAsia="方正小标宋_GBK" w:cs="Times New Roman"/>
          <w:b w:val="0"/>
          <w:bCs w:val="0"/>
          <w:sz w:val="44"/>
          <w:szCs w:val="44"/>
        </w:rPr>
        <w:t>关于</w:t>
      </w:r>
      <w:r>
        <w:rPr>
          <w:rFonts w:hint="default" w:ascii="Times New Roman" w:hAnsi="Times New Roman" w:eastAsia="方正小标宋_GBK" w:cs="Times New Roman"/>
          <w:b w:val="0"/>
          <w:bCs w:val="0"/>
          <w:sz w:val="44"/>
          <w:szCs w:val="44"/>
          <w:lang w:eastAsia="zh-CN"/>
        </w:rPr>
        <w:t>印发《加强殡葬行业跨部门综合监管的实施办法》的通知</w:t>
      </w:r>
    </w:p>
    <w:p w14:paraId="5C5581C7">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仿宋_GB2312" w:cs="Times New Roman"/>
          <w:sz w:val="32"/>
          <w:szCs w:val="32"/>
        </w:rPr>
      </w:pPr>
      <w:r>
        <w:rPr>
          <w:rFonts w:hint="eastAsia" w:ascii="Times New Roman" w:hAnsi="Times New Roman" w:eastAsia="方正小标宋_GBK" w:cs="Times New Roman"/>
          <w:b w:val="0"/>
          <w:bCs w:val="0"/>
          <w:sz w:val="36"/>
          <w:szCs w:val="36"/>
          <w:lang w:eastAsia="zh-CN"/>
        </w:rPr>
        <w:t>（审议稿）</w:t>
      </w:r>
      <w:bookmarkStart w:id="0" w:name="_GoBack"/>
      <w:bookmarkEnd w:id="0"/>
    </w:p>
    <w:p w14:paraId="661DA85F">
      <w:pPr>
        <w:keepNext w:val="0"/>
        <w:keepLines w:val="0"/>
        <w:pageBreakBefore w:val="0"/>
        <w:widowControl w:val="0"/>
        <w:kinsoku/>
        <w:wordWrap/>
        <w:overflowPunct/>
        <w:topLinePunct w:val="0"/>
        <w:autoSpaceDE/>
        <w:autoSpaceDN/>
        <w:bidi w:val="0"/>
        <w:adjustRightInd/>
        <w:snapToGrid w:val="0"/>
        <w:spacing w:line="58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各县市区民政局、</w:t>
      </w:r>
      <w:r>
        <w:rPr>
          <w:rFonts w:hint="default" w:ascii="Times New Roman" w:hAnsi="Times New Roman" w:eastAsia="仿宋_GB2312" w:cs="Times New Roman"/>
          <w:sz w:val="32"/>
          <w:szCs w:val="32"/>
          <w:lang w:eastAsia="zh-CN"/>
        </w:rPr>
        <w:t>党委宣传部、党委网信办、人民法院、</w:t>
      </w:r>
      <w:r>
        <w:rPr>
          <w:rFonts w:hint="eastAsia" w:ascii="Times New Roman" w:hAnsi="Times New Roman" w:eastAsia="仿宋_GB2312" w:cs="Times New Roman"/>
          <w:sz w:val="32"/>
          <w:szCs w:val="32"/>
          <w:lang w:eastAsia="zh-CN"/>
        </w:rPr>
        <w:t>发展和改革委员会</w:t>
      </w:r>
      <w:r>
        <w:rPr>
          <w:rFonts w:hint="default" w:ascii="Times New Roman" w:hAnsi="Times New Roman" w:eastAsia="仿宋_GB2312" w:cs="Times New Roman"/>
          <w:sz w:val="32"/>
          <w:szCs w:val="32"/>
          <w:lang w:eastAsia="zh-CN"/>
        </w:rPr>
        <w:t>、民宗局、公安局、</w:t>
      </w:r>
      <w:r>
        <w:rPr>
          <w:rFonts w:hint="eastAsia" w:ascii="Times New Roman" w:hAnsi="Times New Roman" w:eastAsia="仿宋_GB2312" w:cs="Times New Roman"/>
          <w:sz w:val="32"/>
          <w:szCs w:val="32"/>
          <w:lang w:eastAsia="zh-CN"/>
        </w:rPr>
        <w:t>财政局、</w:t>
      </w:r>
      <w:r>
        <w:rPr>
          <w:rFonts w:hint="default" w:ascii="Times New Roman" w:hAnsi="Times New Roman" w:eastAsia="仿宋_GB2312" w:cs="Times New Roman"/>
          <w:sz w:val="32"/>
          <w:szCs w:val="32"/>
          <w:lang w:eastAsia="zh-CN"/>
        </w:rPr>
        <w:t>自然资源和规划局、生态环境局、住房和城乡建设局、农业农村局、卫生健康委、</w:t>
      </w:r>
      <w:r>
        <w:rPr>
          <w:rFonts w:hint="eastAsia" w:ascii="Times New Roman" w:hAnsi="Times New Roman" w:eastAsia="仿宋_GB2312" w:cs="Times New Roman"/>
          <w:sz w:val="32"/>
          <w:szCs w:val="32"/>
          <w:lang w:eastAsia="zh-CN"/>
        </w:rPr>
        <w:t>中国人民银行衡阳市分行</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sz w:val="32"/>
          <w:szCs w:val="32"/>
          <w:lang w:eastAsia="zh-CN"/>
        </w:rPr>
        <w:t>市场监督管理局、林业局、城管执法局</w:t>
      </w:r>
      <w:r>
        <w:rPr>
          <w:rFonts w:hint="default" w:ascii="Times New Roman" w:hAnsi="Times New Roman" w:eastAsia="仿宋_GB2312" w:cs="Times New Roman"/>
          <w:sz w:val="32"/>
          <w:szCs w:val="32"/>
        </w:rPr>
        <w:t>：</w:t>
      </w:r>
    </w:p>
    <w:p w14:paraId="77208C3F">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现将</w:t>
      </w:r>
      <w:r>
        <w:rPr>
          <w:rFonts w:hint="default" w:ascii="Times New Roman" w:hAnsi="Times New Roman" w:eastAsia="仿宋_GB2312" w:cs="Times New Roman"/>
          <w:sz w:val="32"/>
          <w:szCs w:val="32"/>
        </w:rPr>
        <w:t>《加强殡葬行业跨部门综合监管的实施办法》印发给你们，请认真遵照执行。</w:t>
      </w:r>
    </w:p>
    <w:p w14:paraId="7EB25710">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32"/>
          <w:szCs w:val="32"/>
          <w:lang w:val="en-US" w:eastAsia="zh-CN"/>
        </w:rPr>
      </w:pPr>
    </w:p>
    <w:tbl>
      <w:tblPr>
        <w:tblStyle w:val="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833"/>
        <w:gridCol w:w="2834"/>
        <w:gridCol w:w="2834"/>
      </w:tblGrid>
      <w:tr w14:paraId="4D38E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8" w:hRule="atLeast"/>
        </w:trPr>
        <w:tc>
          <w:tcPr>
            <w:tcW w:w="1666" w:type="pct"/>
            <w:vAlign w:val="center"/>
          </w:tcPr>
          <w:p w14:paraId="35C7D4D2">
            <w:pPr>
              <w:keepNext w:val="0"/>
              <w:keepLines w:val="0"/>
              <w:pageBreakBefore w:val="0"/>
              <w:widowControl w:val="0"/>
              <w:kinsoku/>
              <w:wordWrap w:val="0"/>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lang w:val="en-US" w:eastAsia="zh-CN"/>
              </w:rPr>
              <w:t>衡阳市民政局</w:t>
            </w:r>
          </w:p>
        </w:tc>
        <w:tc>
          <w:tcPr>
            <w:tcW w:w="1666" w:type="pct"/>
            <w:vAlign w:val="center"/>
          </w:tcPr>
          <w:p w14:paraId="1BF81CC8">
            <w:pPr>
              <w:pStyle w:val="7"/>
              <w:keepNext w:val="0"/>
              <w:keepLines w:val="0"/>
              <w:pageBreakBefore w:val="0"/>
              <w:widowControl w:val="0"/>
              <w:kinsoku/>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lang w:val="en-US" w:eastAsia="zh-CN"/>
              </w:rPr>
              <w:t>衡阳市委宣传部</w:t>
            </w:r>
          </w:p>
        </w:tc>
        <w:tc>
          <w:tcPr>
            <w:tcW w:w="1666" w:type="pct"/>
            <w:vAlign w:val="center"/>
          </w:tcPr>
          <w:p w14:paraId="1736A5FE">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衡阳市委网络安全</w:t>
            </w:r>
          </w:p>
          <w:p w14:paraId="31542DB8">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和信息化委员会</w:t>
            </w:r>
          </w:p>
          <w:p w14:paraId="1B5F39DF">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办公室</w:t>
            </w:r>
          </w:p>
        </w:tc>
      </w:tr>
      <w:tr w14:paraId="48B1C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8" w:hRule="atLeast"/>
        </w:trPr>
        <w:tc>
          <w:tcPr>
            <w:tcW w:w="1666" w:type="pct"/>
            <w:vAlign w:val="center"/>
          </w:tcPr>
          <w:p w14:paraId="1415A6B7">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衡阳市中级</w:t>
            </w:r>
          </w:p>
          <w:p w14:paraId="4EBE2906">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lang w:val="en-US" w:eastAsia="zh-CN"/>
              </w:rPr>
              <w:t>人民法院</w:t>
            </w:r>
          </w:p>
        </w:tc>
        <w:tc>
          <w:tcPr>
            <w:tcW w:w="1666" w:type="pct"/>
            <w:vAlign w:val="center"/>
          </w:tcPr>
          <w:p w14:paraId="252EB10E">
            <w:pPr>
              <w:pStyle w:val="7"/>
              <w:keepNext w:val="0"/>
              <w:keepLines w:val="0"/>
              <w:pageBreakBefore w:val="0"/>
              <w:widowControl w:val="0"/>
              <w:kinsoku/>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衡阳市发展和</w:t>
            </w:r>
          </w:p>
          <w:p w14:paraId="49089DAF">
            <w:pPr>
              <w:pStyle w:val="7"/>
              <w:keepNext w:val="0"/>
              <w:keepLines w:val="0"/>
              <w:pageBreakBefore w:val="0"/>
              <w:widowControl w:val="0"/>
              <w:kinsoku/>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lang w:val="en-US" w:eastAsia="zh-CN"/>
              </w:rPr>
              <w:t>改革委员会</w:t>
            </w:r>
          </w:p>
        </w:tc>
        <w:tc>
          <w:tcPr>
            <w:tcW w:w="1666" w:type="pct"/>
            <w:vAlign w:val="center"/>
          </w:tcPr>
          <w:p w14:paraId="04071E47">
            <w:pPr>
              <w:pStyle w:val="7"/>
              <w:keepNext w:val="0"/>
              <w:keepLines w:val="0"/>
              <w:pageBreakBefore w:val="0"/>
              <w:widowControl w:val="0"/>
              <w:kinsoku/>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衡阳市民族宗教</w:t>
            </w:r>
          </w:p>
          <w:p w14:paraId="2DF715E7">
            <w:pPr>
              <w:pStyle w:val="7"/>
              <w:keepNext w:val="0"/>
              <w:keepLines w:val="0"/>
              <w:pageBreakBefore w:val="0"/>
              <w:widowControl w:val="0"/>
              <w:kinsoku/>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事务局</w:t>
            </w:r>
          </w:p>
        </w:tc>
      </w:tr>
      <w:tr w14:paraId="259F7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8" w:hRule="atLeast"/>
        </w:trPr>
        <w:tc>
          <w:tcPr>
            <w:tcW w:w="1666" w:type="pct"/>
            <w:vAlign w:val="center"/>
          </w:tcPr>
          <w:p w14:paraId="0727CF93">
            <w:pPr>
              <w:pStyle w:val="7"/>
              <w:keepNext w:val="0"/>
              <w:keepLines w:val="0"/>
              <w:pageBreakBefore w:val="0"/>
              <w:widowControl w:val="0"/>
              <w:kinsoku/>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lang w:val="en-US" w:eastAsia="zh-CN"/>
              </w:rPr>
              <w:t>衡阳市公安局</w:t>
            </w:r>
          </w:p>
        </w:tc>
        <w:tc>
          <w:tcPr>
            <w:tcW w:w="1666" w:type="pct"/>
            <w:vAlign w:val="center"/>
          </w:tcPr>
          <w:p w14:paraId="6816F50C">
            <w:pPr>
              <w:pStyle w:val="7"/>
              <w:keepNext w:val="0"/>
              <w:keepLines w:val="0"/>
              <w:pageBreakBefore w:val="0"/>
              <w:widowControl w:val="0"/>
              <w:kinsoku/>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lang w:val="en-US" w:eastAsia="zh-CN"/>
              </w:rPr>
              <w:t>衡阳市财政局</w:t>
            </w:r>
          </w:p>
        </w:tc>
        <w:tc>
          <w:tcPr>
            <w:tcW w:w="1666" w:type="pct"/>
            <w:vAlign w:val="center"/>
          </w:tcPr>
          <w:p w14:paraId="0C60DC57">
            <w:pPr>
              <w:pStyle w:val="7"/>
              <w:keepNext w:val="0"/>
              <w:keepLines w:val="0"/>
              <w:pageBreakBefore w:val="0"/>
              <w:widowControl w:val="0"/>
              <w:kinsoku/>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衡阳市自然资源</w:t>
            </w:r>
          </w:p>
          <w:p w14:paraId="56AC46D6">
            <w:pPr>
              <w:pStyle w:val="7"/>
              <w:keepNext w:val="0"/>
              <w:keepLines w:val="0"/>
              <w:pageBreakBefore w:val="0"/>
              <w:widowControl w:val="0"/>
              <w:kinsoku/>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和规划局</w:t>
            </w:r>
          </w:p>
        </w:tc>
      </w:tr>
      <w:tr w14:paraId="4B77B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8" w:hRule="atLeast"/>
        </w:trPr>
        <w:tc>
          <w:tcPr>
            <w:tcW w:w="1666" w:type="pct"/>
            <w:vAlign w:val="center"/>
          </w:tcPr>
          <w:p w14:paraId="1F223682">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lang w:val="en-US" w:eastAsia="zh-CN"/>
              </w:rPr>
              <w:t>衡阳市生态环境局</w:t>
            </w:r>
          </w:p>
        </w:tc>
        <w:tc>
          <w:tcPr>
            <w:tcW w:w="1666" w:type="pct"/>
            <w:vAlign w:val="center"/>
          </w:tcPr>
          <w:p w14:paraId="795D32A7">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衡阳市住房和</w:t>
            </w:r>
          </w:p>
          <w:p w14:paraId="1986D258">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lang w:val="en-US" w:eastAsia="zh-CN"/>
              </w:rPr>
              <w:t>城乡建设局</w:t>
            </w:r>
          </w:p>
        </w:tc>
        <w:tc>
          <w:tcPr>
            <w:tcW w:w="1666" w:type="pct"/>
            <w:vAlign w:val="center"/>
          </w:tcPr>
          <w:p w14:paraId="349C0850">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衡阳市农业农村局</w:t>
            </w:r>
          </w:p>
        </w:tc>
      </w:tr>
      <w:tr w14:paraId="5A70C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8" w:hRule="atLeast"/>
        </w:trPr>
        <w:tc>
          <w:tcPr>
            <w:tcW w:w="1666" w:type="pct"/>
            <w:vAlign w:val="center"/>
          </w:tcPr>
          <w:p w14:paraId="0DB81632">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衡阳市卫生健康</w:t>
            </w:r>
          </w:p>
          <w:p w14:paraId="6790C660">
            <w:pPr>
              <w:pStyle w:val="7"/>
              <w:keepNext w:val="0"/>
              <w:keepLines w:val="0"/>
              <w:pageBreakBefore w:val="0"/>
              <w:widowControl w:val="0"/>
              <w:kinsoku/>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lang w:val="en-US" w:eastAsia="zh-CN"/>
              </w:rPr>
              <w:t>委员会</w:t>
            </w:r>
          </w:p>
        </w:tc>
        <w:tc>
          <w:tcPr>
            <w:tcW w:w="1666" w:type="pct"/>
            <w:vAlign w:val="center"/>
          </w:tcPr>
          <w:p w14:paraId="7B25DD0E">
            <w:pPr>
              <w:pStyle w:val="7"/>
              <w:keepNext w:val="0"/>
              <w:keepLines w:val="0"/>
              <w:pageBreakBefore w:val="0"/>
              <w:widowControl w:val="0"/>
              <w:kinsoku/>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中国人民银行衡阳市分行</w:t>
            </w:r>
          </w:p>
        </w:tc>
        <w:tc>
          <w:tcPr>
            <w:tcW w:w="1666" w:type="pct"/>
            <w:vAlign w:val="center"/>
          </w:tcPr>
          <w:p w14:paraId="6C17AD94">
            <w:pPr>
              <w:pStyle w:val="7"/>
              <w:keepNext w:val="0"/>
              <w:keepLines w:val="0"/>
              <w:pageBreakBefore w:val="0"/>
              <w:widowControl w:val="0"/>
              <w:kinsoku/>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衡阳市市场监督</w:t>
            </w:r>
          </w:p>
          <w:p w14:paraId="71E8E77A">
            <w:pPr>
              <w:pStyle w:val="7"/>
              <w:keepNext w:val="0"/>
              <w:keepLines w:val="0"/>
              <w:pageBreakBefore w:val="0"/>
              <w:widowControl w:val="0"/>
              <w:kinsoku/>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管理局</w:t>
            </w:r>
          </w:p>
        </w:tc>
      </w:tr>
      <w:tr w14:paraId="393DA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8" w:hRule="atLeast"/>
        </w:trPr>
        <w:tc>
          <w:tcPr>
            <w:tcW w:w="1666" w:type="pct"/>
            <w:vAlign w:val="center"/>
          </w:tcPr>
          <w:p w14:paraId="122D3517">
            <w:pPr>
              <w:pStyle w:val="7"/>
              <w:keepNext w:val="0"/>
              <w:keepLines w:val="0"/>
              <w:pageBreakBefore w:val="0"/>
              <w:widowControl w:val="0"/>
              <w:kinsoku/>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衡阳市林业局</w:t>
            </w:r>
          </w:p>
        </w:tc>
        <w:tc>
          <w:tcPr>
            <w:tcW w:w="1666" w:type="pct"/>
            <w:vAlign w:val="center"/>
          </w:tcPr>
          <w:p w14:paraId="5EF40D64">
            <w:pPr>
              <w:pStyle w:val="7"/>
              <w:keepNext w:val="0"/>
              <w:keepLines w:val="0"/>
              <w:pageBreakBefore w:val="0"/>
              <w:widowControl w:val="0"/>
              <w:kinsoku/>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sz w:val="32"/>
                <w:szCs w:val="32"/>
                <w:lang w:val="en-US" w:eastAsia="zh-CN"/>
              </w:rPr>
            </w:pPr>
          </w:p>
        </w:tc>
        <w:tc>
          <w:tcPr>
            <w:tcW w:w="1666" w:type="pct"/>
            <w:vAlign w:val="center"/>
          </w:tcPr>
          <w:p w14:paraId="4042CC57">
            <w:pPr>
              <w:pStyle w:val="7"/>
              <w:keepNext w:val="0"/>
              <w:keepLines w:val="0"/>
              <w:pageBreakBefore w:val="0"/>
              <w:widowControl w:val="0"/>
              <w:kinsoku/>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衡阳市城管执法局</w:t>
            </w:r>
          </w:p>
        </w:tc>
      </w:tr>
    </w:tbl>
    <w:p w14:paraId="29EB6AFF">
      <w:pPr>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仿宋_GB2312" w:cs="Times New Roman"/>
          <w:sz w:val="32"/>
          <w:szCs w:val="32"/>
          <w:lang w:val="en-US" w:eastAsia="zh-CN"/>
        </w:rPr>
        <w:t>2025年</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日</w:t>
      </w:r>
    </w:p>
    <w:p w14:paraId="6ED84186">
      <w:pP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br w:type="page"/>
      </w:r>
    </w:p>
    <w:p w14:paraId="1626327C">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小标宋简体" w:cs="Times New Roman"/>
          <w:sz w:val="44"/>
          <w:szCs w:val="44"/>
          <w:lang w:val="en-US" w:eastAsia="zh-CN"/>
        </w:rPr>
      </w:pPr>
    </w:p>
    <w:p w14:paraId="7D538A27">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加强殡葬行业跨部门综合监管的实施办法</w:t>
      </w:r>
    </w:p>
    <w:p w14:paraId="4218AFB9">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default" w:ascii="Times New Roman" w:hAnsi="Times New Roman" w:eastAsia="仿宋_GB2312" w:cs="Times New Roman"/>
          <w:sz w:val="32"/>
          <w:szCs w:val="32"/>
          <w:lang w:val="en-US" w:eastAsia="zh-CN"/>
        </w:rPr>
      </w:pPr>
    </w:p>
    <w:p w14:paraId="3AAFE5EA">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进一步加强殡葬行业跨部门综合监管，切实解决监管失灵的问题，积极稳妥推进殡葬改革，根据国务院办公厅《关于深入推进跨部门综合监管的指导意见》（国办发〔2023〕1号）及《湖南省民政厅等十八部门关于健全完善湖南省殡葬领域跨部门综合监管的实施意见》（湘民发〔2023〕32号）文件精神，结合本地实际，制定本方案。</w:t>
      </w:r>
    </w:p>
    <w:p w14:paraId="4B57F18C">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w:t>
      </w:r>
      <w:r>
        <w:rPr>
          <w:rFonts w:hint="eastAsia" w:ascii="Times New Roman" w:hAnsi="Times New Roman" w:eastAsia="黑体" w:cs="Times New Roman"/>
          <w:sz w:val="32"/>
          <w:szCs w:val="32"/>
          <w:lang w:val="en-US" w:eastAsia="zh-CN"/>
        </w:rPr>
        <w:t>总体要求</w:t>
      </w:r>
    </w:p>
    <w:p w14:paraId="16BB3473">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以习近平新时代中国特色社会主义思想为指导，坚持以人民为中心，强化公益惠民导向，着力解决监管职责不明确、协同机制不健全、管理措施不到位、行业乱象较突出等问题，切实维护群众合法权益，体现殡葬行业公益属性。建立健全“各司其职、各负其责、协同配合、齐抓共管”的跨部门综合监管体制机制，基本形成行业主管部门牵头、各职能部门协同联动的综合监管体系，使殡葬活动更加规范，殡葬服务更加有序，广大群众获得感和满意度明显提升。</w:t>
      </w:r>
    </w:p>
    <w:p w14:paraId="2B10127F">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w:t>
      </w:r>
      <w:r>
        <w:rPr>
          <w:rFonts w:hint="eastAsia" w:ascii="Times New Roman" w:hAnsi="Times New Roman" w:eastAsia="黑体" w:cs="Times New Roman"/>
          <w:sz w:val="32"/>
          <w:szCs w:val="32"/>
          <w:lang w:val="en-US" w:eastAsia="zh-CN"/>
        </w:rPr>
        <w:t>监管重点事项</w:t>
      </w:r>
    </w:p>
    <w:p w14:paraId="32B19824">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b/>
          <w:bCs/>
          <w:sz w:val="32"/>
          <w:szCs w:val="32"/>
          <w:lang w:val="en-US" w:eastAsia="zh-CN"/>
        </w:rPr>
        <w:t>（一）加强</w:t>
      </w:r>
      <w:r>
        <w:rPr>
          <w:rFonts w:hint="eastAsia" w:ascii="Times New Roman" w:hAnsi="Times New Roman" w:eastAsia="楷体_GB2312" w:cs="Times New Roman"/>
          <w:b/>
          <w:bCs/>
          <w:sz w:val="32"/>
          <w:szCs w:val="32"/>
          <w:lang w:val="en-US" w:eastAsia="zh-CN"/>
        </w:rPr>
        <w:t>医疗卫生机构</w:t>
      </w:r>
      <w:r>
        <w:rPr>
          <w:rFonts w:hint="default" w:ascii="Times New Roman" w:hAnsi="Times New Roman" w:eastAsia="楷体_GB2312" w:cs="Times New Roman"/>
          <w:b/>
          <w:bCs/>
          <w:sz w:val="32"/>
          <w:szCs w:val="32"/>
          <w:lang w:val="en-US" w:eastAsia="zh-CN"/>
        </w:rPr>
        <w:t>殡仪环节的监管。</w:t>
      </w:r>
      <w:r>
        <w:rPr>
          <w:rFonts w:hint="eastAsia" w:ascii="Times New Roman" w:hAnsi="Times New Roman" w:eastAsia="仿宋_GB2312" w:cs="Times New Roman"/>
          <w:b w:val="0"/>
          <w:bCs w:val="0"/>
          <w:sz w:val="32"/>
          <w:szCs w:val="32"/>
          <w:lang w:val="en-US" w:eastAsia="zh-CN"/>
        </w:rPr>
        <w:t>加强医疗卫生机构出具死亡证明及太平间等暂存遗体场所的监管。依法查处违规外包太平间、</w:t>
      </w:r>
      <w:r>
        <w:rPr>
          <w:rFonts w:hint="default" w:ascii="Times New Roman" w:hAnsi="Times New Roman" w:eastAsia="仿宋_GB2312" w:cs="Times New Roman"/>
          <w:b w:val="0"/>
          <w:bCs w:val="0"/>
          <w:sz w:val="32"/>
          <w:szCs w:val="32"/>
          <w:lang w:val="en-US" w:eastAsia="zh-CN"/>
        </w:rPr>
        <w:t>违规开展殡仪服务</w:t>
      </w:r>
      <w:r>
        <w:rPr>
          <w:rFonts w:hint="eastAsia" w:ascii="Times New Roman" w:hAnsi="Times New Roman" w:eastAsia="仿宋_GB2312" w:cs="Times New Roman"/>
          <w:b w:val="0"/>
          <w:bCs w:val="0"/>
          <w:sz w:val="32"/>
          <w:szCs w:val="32"/>
          <w:lang w:val="en-US" w:eastAsia="zh-CN"/>
        </w:rPr>
        <w:t>、急救车辆违规从事遗体接运业务等行为。加强医疗卫生机构工作人员监管，</w:t>
      </w:r>
      <w:r>
        <w:rPr>
          <w:rFonts w:hint="default" w:ascii="Times New Roman" w:hAnsi="Times New Roman" w:eastAsia="仿宋_GB2312" w:cs="Times New Roman"/>
          <w:b w:val="0"/>
          <w:bCs w:val="0"/>
          <w:sz w:val="32"/>
          <w:szCs w:val="32"/>
          <w:lang w:val="en-US" w:eastAsia="zh-CN"/>
        </w:rPr>
        <w:t>对诱导高消费、勾连欺诈</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倒卖或</w:t>
      </w:r>
      <w:r>
        <w:rPr>
          <w:rFonts w:hint="eastAsia" w:ascii="Times New Roman" w:hAnsi="Times New Roman" w:eastAsia="仿宋_GB2312" w:cs="Times New Roman"/>
          <w:b w:val="0"/>
          <w:bCs w:val="0"/>
          <w:sz w:val="32"/>
          <w:szCs w:val="32"/>
          <w:lang w:val="en-US" w:eastAsia="zh-CN"/>
        </w:rPr>
        <w:t>非法提供</w:t>
      </w:r>
      <w:r>
        <w:rPr>
          <w:rFonts w:hint="default" w:ascii="Times New Roman" w:hAnsi="Times New Roman" w:eastAsia="仿宋_GB2312" w:cs="Times New Roman"/>
          <w:b w:val="0"/>
          <w:bCs w:val="0"/>
          <w:sz w:val="32"/>
          <w:szCs w:val="32"/>
          <w:lang w:val="en-US" w:eastAsia="zh-CN"/>
        </w:rPr>
        <w:t>丧者</w:t>
      </w:r>
      <w:r>
        <w:rPr>
          <w:rFonts w:hint="eastAsia" w:ascii="Times New Roman" w:hAnsi="Times New Roman" w:eastAsia="仿宋_GB2312" w:cs="Times New Roman"/>
          <w:b w:val="0"/>
          <w:bCs w:val="0"/>
          <w:sz w:val="32"/>
          <w:szCs w:val="32"/>
          <w:lang w:val="en-US" w:eastAsia="zh-CN"/>
        </w:rPr>
        <w:t>及其</w:t>
      </w:r>
      <w:r>
        <w:rPr>
          <w:rFonts w:hint="default" w:ascii="Times New Roman" w:hAnsi="Times New Roman" w:eastAsia="仿宋_GB2312" w:cs="Times New Roman"/>
          <w:b w:val="0"/>
          <w:bCs w:val="0"/>
          <w:sz w:val="32"/>
          <w:szCs w:val="32"/>
          <w:lang w:val="en-US" w:eastAsia="zh-CN"/>
        </w:rPr>
        <w:t>家属信息等行为</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加大查处力度。对违规开具或买卖死亡证明、非法转运或买卖尸体、人体组织和器官、涉黑涉恶等行为，依法依规进行查处。涉嫌犯罪的，公安机关要依法予以严厉打击。（责任</w:t>
      </w:r>
      <w:r>
        <w:rPr>
          <w:rFonts w:hint="eastAsia" w:ascii="Times New Roman" w:hAnsi="Times New Roman" w:eastAsia="仿宋_GB2312" w:cs="Times New Roman"/>
          <w:b w:val="0"/>
          <w:bCs w:val="0"/>
          <w:sz w:val="32"/>
          <w:szCs w:val="32"/>
          <w:lang w:val="en-US" w:eastAsia="zh-CN"/>
        </w:rPr>
        <w:t>部门</w:t>
      </w:r>
      <w:r>
        <w:rPr>
          <w:rFonts w:hint="default" w:ascii="Times New Roman" w:hAnsi="Times New Roman" w:eastAsia="仿宋_GB2312" w:cs="Times New Roman"/>
          <w:b w:val="0"/>
          <w:bCs w:val="0"/>
          <w:sz w:val="32"/>
          <w:szCs w:val="32"/>
          <w:lang w:val="en-US" w:eastAsia="zh-CN"/>
        </w:rPr>
        <w:t>：卫健、民政、公安等）</w:t>
      </w:r>
    </w:p>
    <w:p w14:paraId="06881036">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b/>
          <w:bCs/>
          <w:sz w:val="32"/>
          <w:szCs w:val="32"/>
          <w:lang w:val="en-US" w:eastAsia="zh-CN"/>
        </w:rPr>
        <w:t>（二）加强殡葬设施建设运营监管。</w:t>
      </w:r>
      <w:r>
        <w:rPr>
          <w:rFonts w:hint="default" w:ascii="Times New Roman" w:hAnsi="Times New Roman" w:eastAsia="仿宋_GB2312" w:cs="Times New Roman"/>
          <w:b w:val="0"/>
          <w:bCs w:val="0"/>
          <w:sz w:val="32"/>
          <w:szCs w:val="32"/>
          <w:lang w:val="en-US" w:eastAsia="zh-CN"/>
        </w:rPr>
        <w:t>加强殡葬设施用地审批和规划许可的监管，强化对殡葬设施规划用地的保障。依法依规查处</w:t>
      </w:r>
      <w:r>
        <w:rPr>
          <w:rFonts w:hint="default" w:ascii="Times New Roman" w:hAnsi="Times New Roman" w:eastAsia="仿宋_GB2312" w:cs="Times New Roman"/>
          <w:sz w:val="32"/>
          <w:szCs w:val="32"/>
          <w:lang w:val="en-US" w:eastAsia="zh-CN"/>
        </w:rPr>
        <w:t>私自扩大审批面积、改变规划确定的土地用途、转让殡葬用地、变卖抵押殡葬设施、</w:t>
      </w:r>
      <w:r>
        <w:rPr>
          <w:rFonts w:hint="eastAsia" w:ascii="Times New Roman" w:hAnsi="Times New Roman" w:eastAsia="仿宋_GB2312" w:cs="Times New Roman"/>
          <w:sz w:val="32"/>
          <w:szCs w:val="32"/>
          <w:lang w:val="en-US" w:eastAsia="zh-CN"/>
        </w:rPr>
        <w:t>违规</w:t>
      </w:r>
      <w:r>
        <w:rPr>
          <w:rFonts w:hint="default" w:ascii="Times New Roman" w:hAnsi="Times New Roman" w:eastAsia="仿宋_GB2312" w:cs="Times New Roman"/>
          <w:sz w:val="32"/>
          <w:szCs w:val="32"/>
          <w:lang w:val="en-US" w:eastAsia="zh-CN"/>
        </w:rPr>
        <w:t>占</w:t>
      </w:r>
      <w:r>
        <w:rPr>
          <w:rFonts w:hint="eastAsia" w:ascii="Times New Roman" w:hAnsi="Times New Roman" w:eastAsia="仿宋_GB2312" w:cs="Times New Roman"/>
          <w:b w:val="0"/>
          <w:bCs w:val="0"/>
          <w:sz w:val="32"/>
          <w:szCs w:val="32"/>
          <w:lang w:val="en-US" w:eastAsia="zh-CN"/>
        </w:rPr>
        <w:t>用耕地、林地、草地、湿地及自然保护地</w:t>
      </w:r>
      <w:r>
        <w:rPr>
          <w:rFonts w:hint="default" w:ascii="Times New Roman" w:hAnsi="Times New Roman" w:eastAsia="仿宋_GB2312" w:cs="Times New Roman"/>
          <w:sz w:val="32"/>
          <w:szCs w:val="32"/>
          <w:lang w:val="en-US" w:eastAsia="zh-CN"/>
        </w:rPr>
        <w:t>建设殡葬设施等行为。加强对农村公益性墓地的管理，严禁农村公益性墓地对外经营，规范农村公益性墓地的建设和使用。</w:t>
      </w:r>
      <w:r>
        <w:rPr>
          <w:rFonts w:hint="eastAsia" w:ascii="Times New Roman" w:hAnsi="Times New Roman" w:eastAsia="仿宋_GB2312" w:cs="Times New Roman"/>
          <w:sz w:val="32"/>
          <w:szCs w:val="32"/>
          <w:lang w:val="en-US" w:eastAsia="zh-CN"/>
        </w:rPr>
        <w:t>对</w:t>
      </w:r>
      <w:r>
        <w:rPr>
          <w:rFonts w:hint="default" w:ascii="Times New Roman" w:hAnsi="Times New Roman" w:eastAsia="仿宋_GB2312" w:cs="Times New Roman"/>
          <w:b w:val="0"/>
          <w:bCs w:val="0"/>
          <w:sz w:val="32"/>
          <w:szCs w:val="32"/>
          <w:lang w:val="en-US" w:eastAsia="zh-CN"/>
        </w:rPr>
        <w:t>在公墓</w:t>
      </w:r>
      <w:r>
        <w:rPr>
          <w:rFonts w:hint="eastAsia" w:ascii="Times New Roman" w:hAnsi="Times New Roman" w:eastAsia="仿宋_GB2312" w:cs="Times New Roman"/>
          <w:b w:val="0"/>
          <w:bCs w:val="0"/>
          <w:sz w:val="32"/>
          <w:szCs w:val="32"/>
          <w:lang w:val="en-US" w:eastAsia="zh-CN"/>
        </w:rPr>
        <w:t>和农村公益性墓地</w:t>
      </w:r>
      <w:r>
        <w:rPr>
          <w:rFonts w:hint="default" w:ascii="Times New Roman" w:hAnsi="Times New Roman" w:eastAsia="仿宋_GB2312" w:cs="Times New Roman"/>
          <w:b w:val="0"/>
          <w:bCs w:val="0"/>
          <w:sz w:val="32"/>
          <w:szCs w:val="32"/>
          <w:lang w:val="en-US" w:eastAsia="zh-CN"/>
        </w:rPr>
        <w:t>以外建造坟墓的行为</w:t>
      </w:r>
      <w:r>
        <w:rPr>
          <w:rFonts w:hint="eastAsia" w:ascii="Times New Roman" w:hAnsi="Times New Roman" w:eastAsia="仿宋_GB2312" w:cs="Times New Roman"/>
          <w:b w:val="0"/>
          <w:bCs w:val="0"/>
          <w:sz w:val="32"/>
          <w:szCs w:val="32"/>
          <w:lang w:val="en-US" w:eastAsia="zh-CN"/>
        </w:rPr>
        <w:t>加强</w:t>
      </w:r>
      <w:r>
        <w:rPr>
          <w:rFonts w:hint="default" w:ascii="Times New Roman" w:hAnsi="Times New Roman" w:eastAsia="仿宋_GB2312" w:cs="Times New Roman"/>
          <w:b w:val="0"/>
          <w:bCs w:val="0"/>
          <w:sz w:val="32"/>
          <w:szCs w:val="32"/>
          <w:lang w:val="en-US" w:eastAsia="zh-CN"/>
        </w:rPr>
        <w:t>监管，</w:t>
      </w:r>
      <w:r>
        <w:rPr>
          <w:rFonts w:hint="eastAsia" w:ascii="Times New Roman" w:hAnsi="Times New Roman" w:eastAsia="仿宋_GB2312" w:cs="Times New Roman"/>
          <w:b w:val="0"/>
          <w:bCs w:val="0"/>
          <w:sz w:val="32"/>
          <w:szCs w:val="32"/>
          <w:lang w:val="en-US" w:eastAsia="zh-CN"/>
        </w:rPr>
        <w:t>及时发现并依法纠治。</w:t>
      </w:r>
      <w:r>
        <w:rPr>
          <w:rFonts w:hint="default" w:ascii="Times New Roman" w:hAnsi="Times New Roman" w:eastAsia="仿宋_GB2312" w:cs="Times New Roman"/>
          <w:sz w:val="32"/>
          <w:szCs w:val="32"/>
          <w:lang w:val="en-US" w:eastAsia="zh-CN"/>
        </w:rPr>
        <w:t>严禁建售豪华、硬化大墓和违规销售“活人墓”。加强对宗教活动场所违规开展殡葬活动的监督和查处。禁止将居民住宅专门用于存放骨灰。</w:t>
      </w:r>
      <w:r>
        <w:rPr>
          <w:rFonts w:hint="default" w:ascii="Times New Roman" w:hAnsi="Times New Roman" w:eastAsia="仿宋_GB2312" w:cs="Times New Roman"/>
          <w:b w:val="0"/>
          <w:bCs w:val="0"/>
          <w:sz w:val="32"/>
          <w:szCs w:val="32"/>
          <w:lang w:val="en-US" w:eastAsia="zh-CN"/>
        </w:rPr>
        <w:t>（责任</w:t>
      </w:r>
      <w:r>
        <w:rPr>
          <w:rFonts w:hint="eastAsia" w:ascii="Times New Roman" w:hAnsi="Times New Roman" w:eastAsia="仿宋_GB2312" w:cs="Times New Roman"/>
          <w:b w:val="0"/>
          <w:bCs w:val="0"/>
          <w:sz w:val="32"/>
          <w:szCs w:val="32"/>
          <w:lang w:val="en-US" w:eastAsia="zh-CN"/>
        </w:rPr>
        <w:t>部门</w:t>
      </w:r>
      <w:r>
        <w:rPr>
          <w:rFonts w:hint="default" w:ascii="Times New Roman" w:hAnsi="Times New Roman" w:eastAsia="仿宋_GB2312" w:cs="Times New Roman"/>
          <w:b w:val="0"/>
          <w:bCs w:val="0"/>
          <w:sz w:val="32"/>
          <w:szCs w:val="32"/>
          <w:lang w:val="en-US" w:eastAsia="zh-CN"/>
        </w:rPr>
        <w:t>：民政、自然资源、林业、生态环境、农业农村</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民宗、住建等）</w:t>
      </w:r>
    </w:p>
    <w:p w14:paraId="7F5E9973">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（三）加强殡葬服务项目和用品的监管。</w:t>
      </w:r>
      <w:r>
        <w:rPr>
          <w:rFonts w:hint="eastAsia" w:ascii="Times New Roman" w:hAnsi="Times New Roman" w:eastAsia="仿宋_GB2312" w:cs="Times New Roman"/>
          <w:b w:val="0"/>
          <w:bCs w:val="0"/>
          <w:sz w:val="32"/>
          <w:szCs w:val="32"/>
          <w:lang w:val="en-US" w:eastAsia="zh-CN"/>
        </w:rPr>
        <w:t>加强殡葬服务收费监督管理，核定政府定价、政府指导价殡葬服务项目标准，对市场调节价管理的殡葬服务项目指导定价。督促</w:t>
      </w:r>
      <w:r>
        <w:rPr>
          <w:rFonts w:hint="default" w:ascii="Times New Roman" w:hAnsi="Times New Roman" w:eastAsia="仿宋_GB2312" w:cs="Times New Roman"/>
          <w:b w:val="0"/>
          <w:bCs w:val="0"/>
          <w:sz w:val="32"/>
          <w:szCs w:val="32"/>
          <w:lang w:val="en-US" w:eastAsia="zh-CN"/>
        </w:rPr>
        <w:t>殡葬服务机构严格按照核定的殡葬服务收费项目清单设立项目、提供服务、收取费用，并对非基础项目实行严格的价格管理。</w:t>
      </w:r>
      <w:r>
        <w:rPr>
          <w:rFonts w:hint="default" w:ascii="Times New Roman" w:hAnsi="Times New Roman" w:eastAsia="仿宋_GB2312" w:cs="Times New Roman"/>
          <w:sz w:val="32"/>
          <w:szCs w:val="32"/>
          <w:lang w:val="en-US" w:eastAsia="zh-CN"/>
        </w:rPr>
        <w:t>加强对殡葬用品市场的监管，禁止制造、销售违反法律法规或违背公序良俗的丧葬用品。依法查处仿制或使用人民币图样的丧葬祭祀用品。</w:t>
      </w:r>
      <w:r>
        <w:rPr>
          <w:rFonts w:hint="default" w:ascii="Times New Roman" w:hAnsi="Times New Roman" w:eastAsia="仿宋_GB2312" w:cs="Times New Roman"/>
          <w:b w:val="0"/>
          <w:bCs w:val="0"/>
          <w:sz w:val="32"/>
          <w:szCs w:val="32"/>
          <w:lang w:val="en-US" w:eastAsia="zh-CN"/>
        </w:rPr>
        <w:t>依法查处</w:t>
      </w:r>
      <w:r>
        <w:rPr>
          <w:rFonts w:hint="eastAsia" w:ascii="Times New Roman" w:hAnsi="Times New Roman" w:eastAsia="仿宋_GB2312" w:cs="Times New Roman"/>
          <w:b w:val="0"/>
          <w:bCs w:val="0"/>
          <w:sz w:val="32"/>
          <w:szCs w:val="32"/>
          <w:lang w:val="en-US" w:eastAsia="zh-CN"/>
        </w:rPr>
        <w:t>殡葬服务机构和殡葬领域经营主体价格违法、垄断、不正当竞争、</w:t>
      </w:r>
      <w:r>
        <w:rPr>
          <w:rFonts w:hint="default" w:ascii="Times New Roman" w:hAnsi="Times New Roman" w:eastAsia="仿宋_GB2312" w:cs="Times New Roman"/>
          <w:b w:val="0"/>
          <w:bCs w:val="0"/>
          <w:sz w:val="32"/>
          <w:szCs w:val="32"/>
          <w:lang w:val="en-US" w:eastAsia="zh-CN"/>
        </w:rPr>
        <w:t>无照经营</w:t>
      </w:r>
      <w:r>
        <w:rPr>
          <w:rFonts w:hint="eastAsia" w:ascii="Times New Roman" w:hAnsi="Times New Roman" w:eastAsia="仿宋_GB2312" w:cs="Times New Roman"/>
          <w:b w:val="0"/>
          <w:bCs w:val="0"/>
          <w:sz w:val="32"/>
          <w:szCs w:val="32"/>
          <w:lang w:val="en-US" w:eastAsia="zh-CN"/>
        </w:rPr>
        <w:t>或</w:t>
      </w:r>
      <w:r>
        <w:rPr>
          <w:rFonts w:hint="default" w:ascii="Times New Roman" w:hAnsi="Times New Roman" w:eastAsia="仿宋_GB2312" w:cs="Times New Roman"/>
          <w:b w:val="0"/>
          <w:bCs w:val="0"/>
          <w:sz w:val="32"/>
          <w:szCs w:val="32"/>
          <w:lang w:val="en-US" w:eastAsia="zh-CN"/>
        </w:rPr>
        <w:t>超范围经营</w:t>
      </w:r>
      <w:r>
        <w:rPr>
          <w:rFonts w:hint="eastAsia" w:ascii="Times New Roman" w:hAnsi="Times New Roman" w:eastAsia="仿宋_GB2312" w:cs="Times New Roman"/>
          <w:b w:val="0"/>
          <w:bCs w:val="0"/>
          <w:sz w:val="32"/>
          <w:szCs w:val="32"/>
          <w:lang w:val="en-US" w:eastAsia="zh-CN"/>
        </w:rPr>
        <w:t>等行为。</w:t>
      </w:r>
      <w:r>
        <w:rPr>
          <w:rFonts w:hint="default" w:ascii="Times New Roman" w:hAnsi="Times New Roman" w:eastAsia="仿宋_GB2312" w:cs="Times New Roman"/>
          <w:sz w:val="32"/>
          <w:szCs w:val="32"/>
          <w:lang w:val="en-US" w:eastAsia="zh-CN"/>
        </w:rPr>
        <w:t>建立殡葬服务收费投诉举报机制，及时受理群众关于殡葬服务收费的投诉举报，依法查处违规收费行为。（责任</w:t>
      </w:r>
      <w:r>
        <w:rPr>
          <w:rFonts w:hint="eastAsia" w:ascii="Times New Roman" w:hAnsi="Times New Roman" w:eastAsia="仿宋_GB2312" w:cs="Times New Roman"/>
          <w:sz w:val="32"/>
          <w:szCs w:val="32"/>
          <w:lang w:val="en-US" w:eastAsia="zh-CN"/>
        </w:rPr>
        <w:t>部门</w:t>
      </w:r>
      <w:r>
        <w:rPr>
          <w:rFonts w:hint="default" w:ascii="Times New Roman" w:hAnsi="Times New Roman" w:eastAsia="仿宋_GB2312" w:cs="Times New Roman"/>
          <w:sz w:val="32"/>
          <w:szCs w:val="32"/>
          <w:lang w:val="en-US" w:eastAsia="zh-CN"/>
        </w:rPr>
        <w:t>：发改、市场监管、</w:t>
      </w:r>
      <w:r>
        <w:rPr>
          <w:rFonts w:hint="eastAsia" w:ascii="Times New Roman" w:hAnsi="Times New Roman" w:eastAsia="仿宋_GB2312" w:cs="Times New Roman"/>
          <w:sz w:val="32"/>
          <w:szCs w:val="32"/>
          <w:lang w:val="en-US" w:eastAsia="zh-CN"/>
        </w:rPr>
        <w:t>财政、</w:t>
      </w:r>
      <w:r>
        <w:rPr>
          <w:rFonts w:hint="default" w:ascii="Times New Roman" w:hAnsi="Times New Roman" w:eastAsia="仿宋_GB2312" w:cs="Times New Roman"/>
          <w:sz w:val="32"/>
          <w:szCs w:val="32"/>
          <w:lang w:val="en-US" w:eastAsia="zh-CN"/>
        </w:rPr>
        <w:t>民政</w:t>
      </w:r>
      <w:r>
        <w:rPr>
          <w:rFonts w:hint="eastAsia" w:ascii="Times New Roman" w:hAnsi="Times New Roman" w:eastAsia="仿宋_GB2312" w:cs="Times New Roman"/>
          <w:sz w:val="32"/>
          <w:szCs w:val="32"/>
          <w:lang w:val="en-US" w:eastAsia="zh-CN"/>
        </w:rPr>
        <w:t>、人民银行</w:t>
      </w:r>
      <w:r>
        <w:rPr>
          <w:rFonts w:hint="default" w:ascii="Times New Roman" w:hAnsi="Times New Roman" w:eastAsia="仿宋_GB2312" w:cs="Times New Roman"/>
          <w:sz w:val="32"/>
          <w:szCs w:val="32"/>
          <w:lang w:val="en-US" w:eastAsia="zh-CN"/>
        </w:rPr>
        <w:t>等）</w:t>
      </w:r>
    </w:p>
    <w:p w14:paraId="3B0046F3">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b/>
          <w:bCs/>
          <w:sz w:val="32"/>
          <w:szCs w:val="32"/>
          <w:lang w:val="en-US" w:eastAsia="zh-CN"/>
        </w:rPr>
        <w:t>（</w:t>
      </w:r>
      <w:r>
        <w:rPr>
          <w:rFonts w:hint="eastAsia" w:ascii="Times New Roman" w:hAnsi="Times New Roman" w:eastAsia="楷体_GB2312" w:cs="Times New Roman"/>
          <w:b/>
          <w:bCs/>
          <w:sz w:val="32"/>
          <w:szCs w:val="32"/>
          <w:lang w:val="en-US" w:eastAsia="zh-CN"/>
        </w:rPr>
        <w:t>四</w:t>
      </w:r>
      <w:r>
        <w:rPr>
          <w:rFonts w:hint="default" w:ascii="Times New Roman" w:hAnsi="Times New Roman" w:eastAsia="楷体_GB2312" w:cs="Times New Roman"/>
          <w:b/>
          <w:bCs/>
          <w:sz w:val="32"/>
          <w:szCs w:val="32"/>
          <w:lang w:val="en-US" w:eastAsia="zh-CN"/>
        </w:rPr>
        <w:t>）加强殡葬中介和民间从业人员</w:t>
      </w:r>
      <w:r>
        <w:rPr>
          <w:rFonts w:hint="eastAsia" w:ascii="Times New Roman" w:hAnsi="Times New Roman" w:eastAsia="楷体_GB2312" w:cs="Times New Roman"/>
          <w:b/>
          <w:bCs/>
          <w:sz w:val="32"/>
          <w:szCs w:val="32"/>
          <w:lang w:val="en-US" w:eastAsia="zh-CN"/>
        </w:rPr>
        <w:t>的</w:t>
      </w:r>
      <w:r>
        <w:rPr>
          <w:rFonts w:hint="default" w:ascii="Times New Roman" w:hAnsi="Times New Roman" w:eastAsia="楷体_GB2312" w:cs="Times New Roman"/>
          <w:b/>
          <w:bCs/>
          <w:sz w:val="32"/>
          <w:szCs w:val="32"/>
          <w:lang w:val="en-US" w:eastAsia="zh-CN"/>
        </w:rPr>
        <w:t>监管。</w:t>
      </w:r>
      <w:r>
        <w:rPr>
          <w:rFonts w:hint="default" w:ascii="Times New Roman" w:hAnsi="Times New Roman" w:eastAsia="仿宋_GB2312" w:cs="Times New Roman"/>
          <w:b w:val="0"/>
          <w:bCs w:val="0"/>
          <w:sz w:val="32"/>
          <w:szCs w:val="32"/>
          <w:lang w:val="en-US" w:eastAsia="zh-CN"/>
        </w:rPr>
        <w:t>要将从事殡葬服务代理、用品代购、策划主持等殡葬相关活动的组织和个人纳入管理范围，摸清底数，并制定相关管理规范，加强对相关组织和个人违法违规行为的查处和信息公示</w:t>
      </w:r>
      <w:r>
        <w:rPr>
          <w:rFonts w:hint="eastAsia" w:ascii="Times New Roman" w:hAnsi="Times New Roman" w:eastAsia="仿宋_GB2312" w:cs="Times New Roman"/>
          <w:b w:val="0"/>
          <w:bCs w:val="0"/>
          <w:sz w:val="32"/>
          <w:szCs w:val="32"/>
          <w:lang w:val="en-US" w:eastAsia="zh-CN"/>
        </w:rPr>
        <w:t>，并鼓励行业协会吸纳其入会强化诚信自律建设。</w:t>
      </w:r>
      <w:r>
        <w:rPr>
          <w:rFonts w:hint="default" w:ascii="Times New Roman" w:hAnsi="Times New Roman" w:eastAsia="仿宋_GB2312" w:cs="Times New Roman"/>
          <w:b w:val="0"/>
          <w:bCs w:val="0"/>
          <w:sz w:val="32"/>
          <w:szCs w:val="32"/>
          <w:lang w:val="en-US" w:eastAsia="zh-CN"/>
        </w:rPr>
        <w:t>依法制止蛊惑丧属大操大办或开展</w:t>
      </w:r>
      <w:r>
        <w:rPr>
          <w:rFonts w:hint="eastAsia" w:ascii="Times New Roman" w:hAnsi="Times New Roman" w:eastAsia="仿宋_GB2312" w:cs="Times New Roman"/>
          <w:b w:val="0"/>
          <w:bCs w:val="0"/>
          <w:sz w:val="32"/>
          <w:szCs w:val="32"/>
          <w:lang w:val="en-US" w:eastAsia="zh-CN"/>
        </w:rPr>
        <w:t>封建</w:t>
      </w:r>
      <w:r>
        <w:rPr>
          <w:rFonts w:hint="default" w:ascii="Times New Roman" w:hAnsi="Times New Roman" w:eastAsia="仿宋_GB2312" w:cs="Times New Roman"/>
          <w:b w:val="0"/>
          <w:bCs w:val="0"/>
          <w:sz w:val="32"/>
          <w:szCs w:val="32"/>
          <w:lang w:val="en-US" w:eastAsia="zh-CN"/>
        </w:rPr>
        <w:t>迷信活动的行为，</w:t>
      </w:r>
      <w:r>
        <w:rPr>
          <w:rFonts w:hint="eastAsia" w:ascii="Times New Roman" w:hAnsi="Times New Roman" w:eastAsia="仿宋_GB2312" w:cs="Times New Roman"/>
          <w:b w:val="0"/>
          <w:bCs w:val="0"/>
          <w:sz w:val="32"/>
          <w:szCs w:val="32"/>
          <w:lang w:val="en-US" w:eastAsia="zh-CN"/>
        </w:rPr>
        <w:t>依法查处</w:t>
      </w:r>
      <w:r>
        <w:rPr>
          <w:rFonts w:hint="default" w:ascii="Times New Roman" w:hAnsi="Times New Roman" w:eastAsia="仿宋_GB2312" w:cs="Times New Roman"/>
          <w:b w:val="0"/>
          <w:bCs w:val="0"/>
          <w:sz w:val="32"/>
          <w:szCs w:val="32"/>
          <w:lang w:val="en-US" w:eastAsia="zh-CN"/>
        </w:rPr>
        <w:t>未经批准</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私自购买遗体运输车或使用不符合国家技术标准车辆从事遗体运输的</w:t>
      </w:r>
      <w:r>
        <w:rPr>
          <w:rFonts w:hint="eastAsia" w:ascii="Times New Roman" w:hAnsi="Times New Roman" w:eastAsia="仿宋_GB2312" w:cs="Times New Roman"/>
          <w:b w:val="0"/>
          <w:bCs w:val="0"/>
          <w:sz w:val="32"/>
          <w:szCs w:val="32"/>
          <w:lang w:val="en-US" w:eastAsia="zh-CN"/>
        </w:rPr>
        <w:t>行为</w:t>
      </w:r>
      <w:r>
        <w:rPr>
          <w:rFonts w:hint="default" w:ascii="Times New Roman" w:hAnsi="Times New Roman" w:eastAsia="仿宋_GB2312" w:cs="Times New Roman"/>
          <w:b w:val="0"/>
          <w:bCs w:val="0"/>
          <w:sz w:val="32"/>
          <w:szCs w:val="32"/>
          <w:lang w:val="en-US" w:eastAsia="zh-CN"/>
        </w:rPr>
        <w:t>。加大对殡葬“黑中介”欺行霸市</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强买强卖行为的打击力度。（责任</w:t>
      </w:r>
      <w:r>
        <w:rPr>
          <w:rFonts w:hint="eastAsia" w:ascii="Times New Roman" w:hAnsi="Times New Roman" w:eastAsia="仿宋_GB2312" w:cs="Times New Roman"/>
          <w:b w:val="0"/>
          <w:bCs w:val="0"/>
          <w:sz w:val="32"/>
          <w:szCs w:val="32"/>
          <w:lang w:val="en-US" w:eastAsia="zh-CN"/>
        </w:rPr>
        <w:t>部门</w:t>
      </w:r>
      <w:r>
        <w:rPr>
          <w:rFonts w:hint="default" w:ascii="Times New Roman" w:hAnsi="Times New Roman" w:eastAsia="仿宋_GB2312" w:cs="Times New Roman"/>
          <w:b w:val="0"/>
          <w:bCs w:val="0"/>
          <w:sz w:val="32"/>
          <w:szCs w:val="32"/>
          <w:lang w:val="en-US" w:eastAsia="zh-CN"/>
        </w:rPr>
        <w:t>：民政</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市场监管、</w:t>
      </w:r>
      <w:r>
        <w:rPr>
          <w:rFonts w:hint="eastAsia" w:ascii="Times New Roman" w:hAnsi="Times New Roman" w:eastAsia="仿宋_GB2312" w:cs="Times New Roman"/>
          <w:b w:val="0"/>
          <w:bCs w:val="0"/>
          <w:sz w:val="32"/>
          <w:szCs w:val="32"/>
          <w:lang w:val="en-US" w:eastAsia="zh-CN"/>
        </w:rPr>
        <w:t>宣传部、公安</w:t>
      </w:r>
      <w:r>
        <w:rPr>
          <w:rFonts w:hint="default" w:ascii="Times New Roman" w:hAnsi="Times New Roman" w:eastAsia="仿宋_GB2312" w:cs="Times New Roman"/>
          <w:b w:val="0"/>
          <w:bCs w:val="0"/>
          <w:sz w:val="32"/>
          <w:szCs w:val="32"/>
          <w:lang w:val="en-US" w:eastAsia="zh-CN"/>
        </w:rPr>
        <w:t>等）</w:t>
      </w:r>
    </w:p>
    <w:p w14:paraId="25298333">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b/>
          <w:bCs/>
          <w:sz w:val="32"/>
          <w:szCs w:val="32"/>
          <w:lang w:val="en-US" w:eastAsia="zh-CN"/>
        </w:rPr>
        <w:t>（</w:t>
      </w:r>
      <w:r>
        <w:rPr>
          <w:rFonts w:hint="eastAsia" w:ascii="Times New Roman" w:hAnsi="Times New Roman" w:eastAsia="楷体_GB2312" w:cs="Times New Roman"/>
          <w:b/>
          <w:bCs/>
          <w:sz w:val="32"/>
          <w:szCs w:val="32"/>
          <w:lang w:val="en-US" w:eastAsia="zh-CN"/>
        </w:rPr>
        <w:t>五</w:t>
      </w:r>
      <w:r>
        <w:rPr>
          <w:rFonts w:hint="default" w:ascii="Times New Roman" w:hAnsi="Times New Roman" w:eastAsia="楷体_GB2312" w:cs="Times New Roman"/>
          <w:b/>
          <w:bCs/>
          <w:sz w:val="32"/>
          <w:szCs w:val="32"/>
          <w:lang w:val="en-US" w:eastAsia="zh-CN"/>
        </w:rPr>
        <w:t>）加强治丧</w:t>
      </w:r>
      <w:r>
        <w:rPr>
          <w:rFonts w:hint="eastAsia" w:ascii="Times New Roman" w:hAnsi="Times New Roman" w:eastAsia="楷体_GB2312" w:cs="Times New Roman"/>
          <w:b/>
          <w:bCs/>
          <w:sz w:val="32"/>
          <w:szCs w:val="32"/>
          <w:lang w:val="en-US" w:eastAsia="zh-CN"/>
        </w:rPr>
        <w:t>、</w:t>
      </w:r>
      <w:r>
        <w:rPr>
          <w:rFonts w:hint="default" w:ascii="Times New Roman" w:hAnsi="Times New Roman" w:eastAsia="楷体_GB2312" w:cs="Times New Roman"/>
          <w:b/>
          <w:bCs/>
          <w:sz w:val="32"/>
          <w:szCs w:val="32"/>
          <w:lang w:val="en-US" w:eastAsia="zh-CN"/>
        </w:rPr>
        <w:t>祭扫</w:t>
      </w:r>
      <w:r>
        <w:rPr>
          <w:rFonts w:hint="eastAsia" w:ascii="Times New Roman" w:hAnsi="Times New Roman" w:eastAsia="楷体_GB2312" w:cs="Times New Roman"/>
          <w:b/>
          <w:bCs/>
          <w:sz w:val="32"/>
          <w:szCs w:val="32"/>
          <w:lang w:val="en-US" w:eastAsia="zh-CN"/>
        </w:rPr>
        <w:t>等丧事活动</w:t>
      </w:r>
      <w:r>
        <w:rPr>
          <w:rFonts w:hint="default" w:ascii="Times New Roman" w:hAnsi="Times New Roman" w:eastAsia="楷体_GB2312" w:cs="Times New Roman"/>
          <w:b/>
          <w:bCs/>
          <w:sz w:val="32"/>
          <w:szCs w:val="32"/>
          <w:lang w:val="en-US" w:eastAsia="zh-CN"/>
        </w:rPr>
        <w:t>的监管。</w:t>
      </w:r>
      <w:r>
        <w:rPr>
          <w:rFonts w:hint="eastAsia" w:ascii="Times New Roman" w:hAnsi="Times New Roman" w:eastAsia="仿宋_GB2312" w:cs="Times New Roman"/>
          <w:b w:val="0"/>
          <w:bCs w:val="0"/>
          <w:sz w:val="32"/>
          <w:szCs w:val="32"/>
          <w:lang w:val="en-US" w:eastAsia="zh-CN"/>
        </w:rPr>
        <w:t>加强治丧活动的监管，</w:t>
      </w:r>
      <w:r>
        <w:rPr>
          <w:rFonts w:hint="default" w:ascii="Times New Roman" w:hAnsi="Times New Roman" w:eastAsia="仿宋_GB2312" w:cs="Times New Roman"/>
          <w:b w:val="0"/>
          <w:bCs w:val="0"/>
          <w:sz w:val="32"/>
          <w:szCs w:val="32"/>
          <w:lang w:val="en-US" w:eastAsia="zh-CN"/>
        </w:rPr>
        <w:t>及时制止沿街抛洒焚烧纸钱</w:t>
      </w:r>
      <w:r>
        <w:rPr>
          <w:rFonts w:hint="eastAsia" w:ascii="Times New Roman" w:hAnsi="Times New Roman" w:eastAsia="仿宋_GB2312" w:cs="Times New Roman"/>
          <w:b w:val="0"/>
          <w:bCs w:val="0"/>
          <w:sz w:val="32"/>
          <w:szCs w:val="32"/>
          <w:lang w:val="en-US" w:eastAsia="zh-CN"/>
        </w:rPr>
        <w:t>或</w:t>
      </w:r>
      <w:r>
        <w:rPr>
          <w:rFonts w:hint="default" w:ascii="Times New Roman" w:hAnsi="Times New Roman" w:eastAsia="仿宋_GB2312" w:cs="Times New Roman"/>
          <w:b w:val="0"/>
          <w:bCs w:val="0"/>
          <w:sz w:val="32"/>
          <w:szCs w:val="32"/>
          <w:lang w:val="en-US" w:eastAsia="zh-CN"/>
        </w:rPr>
        <w:t>燃放鞭炮</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丧事大操大办、开展封建迷信活动、组织低俗表演等不文明行为，对占用公共场所停放遗体、搭设灵棚等妨碍公共秩序、危害公共安全卫生、侵害他人合法权益的行为进行制止。</w:t>
      </w:r>
      <w:r>
        <w:rPr>
          <w:rFonts w:hint="eastAsia" w:ascii="Times New Roman" w:hAnsi="Times New Roman" w:eastAsia="仿宋_GB2312" w:cs="Times New Roman"/>
          <w:b w:val="0"/>
          <w:bCs w:val="0"/>
          <w:sz w:val="32"/>
          <w:szCs w:val="32"/>
          <w:lang w:val="en-US" w:eastAsia="zh-CN"/>
        </w:rPr>
        <w:t>加强清明节等重要节点文明祭扫引导，督促殡葬服务机构完善安全设施与应急预案，强化祭扫期间林区巡逻与火源管控，排查风险隐患。</w:t>
      </w:r>
      <w:r>
        <w:rPr>
          <w:rFonts w:hint="default" w:ascii="Times New Roman" w:hAnsi="Times New Roman" w:eastAsia="仿宋_GB2312" w:cs="Times New Roman"/>
          <w:b w:val="0"/>
          <w:bCs w:val="0"/>
          <w:sz w:val="32"/>
          <w:szCs w:val="32"/>
          <w:lang w:val="en-US" w:eastAsia="zh-CN"/>
        </w:rPr>
        <w:t>加强网络祭扫平台监管，严厉打击诱导消费行为，严禁发布传播法律法规禁止或违背公序良俗的信息内容，不得为低俗迷信、陈规陋习类网络祭扫及网络治丧行为提供导流引流服务。（责任</w:t>
      </w:r>
      <w:r>
        <w:rPr>
          <w:rFonts w:hint="eastAsia" w:ascii="Times New Roman" w:hAnsi="Times New Roman" w:eastAsia="仿宋_GB2312" w:cs="Times New Roman"/>
          <w:b w:val="0"/>
          <w:bCs w:val="0"/>
          <w:sz w:val="32"/>
          <w:szCs w:val="32"/>
          <w:lang w:val="en-US" w:eastAsia="zh-CN"/>
        </w:rPr>
        <w:t>部门</w:t>
      </w:r>
      <w:r>
        <w:rPr>
          <w:rFonts w:hint="default" w:ascii="Times New Roman" w:hAnsi="Times New Roman" w:eastAsia="仿宋_GB2312" w:cs="Times New Roman"/>
          <w:b w:val="0"/>
          <w:bCs w:val="0"/>
          <w:sz w:val="32"/>
          <w:szCs w:val="32"/>
          <w:lang w:val="en-US" w:eastAsia="zh-CN"/>
        </w:rPr>
        <w:t>：民政</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城管执法、</w:t>
      </w:r>
      <w:r>
        <w:rPr>
          <w:rFonts w:hint="eastAsia" w:ascii="Times New Roman" w:hAnsi="Times New Roman" w:eastAsia="仿宋_GB2312" w:cs="Times New Roman"/>
          <w:b w:val="0"/>
          <w:bCs w:val="0"/>
          <w:sz w:val="32"/>
          <w:szCs w:val="32"/>
          <w:lang w:val="en-US" w:eastAsia="zh-CN"/>
        </w:rPr>
        <w:t>林业、公安、</w:t>
      </w:r>
      <w:r>
        <w:rPr>
          <w:rFonts w:hint="default" w:ascii="Times New Roman" w:hAnsi="Times New Roman" w:eastAsia="仿宋_GB2312" w:cs="Times New Roman"/>
          <w:b w:val="0"/>
          <w:bCs w:val="0"/>
          <w:sz w:val="32"/>
          <w:szCs w:val="32"/>
          <w:lang w:val="en-US" w:eastAsia="zh-CN"/>
        </w:rPr>
        <w:t>网信办等）</w:t>
      </w:r>
    </w:p>
    <w:p w14:paraId="6BEA251B">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b/>
          <w:bCs/>
          <w:sz w:val="32"/>
          <w:szCs w:val="32"/>
          <w:lang w:val="en-US" w:eastAsia="zh-CN"/>
        </w:rPr>
        <w:t>（</w:t>
      </w:r>
      <w:r>
        <w:rPr>
          <w:rFonts w:hint="eastAsia" w:ascii="Times New Roman" w:hAnsi="Times New Roman" w:eastAsia="楷体_GB2312" w:cs="Times New Roman"/>
          <w:b/>
          <w:bCs/>
          <w:sz w:val="32"/>
          <w:szCs w:val="32"/>
          <w:lang w:val="en-US" w:eastAsia="zh-CN"/>
        </w:rPr>
        <w:t>六</w:t>
      </w:r>
      <w:r>
        <w:rPr>
          <w:rFonts w:hint="default" w:ascii="Times New Roman" w:hAnsi="Times New Roman" w:eastAsia="楷体_GB2312" w:cs="Times New Roman"/>
          <w:b/>
          <w:bCs/>
          <w:sz w:val="32"/>
          <w:szCs w:val="32"/>
          <w:lang w:val="en-US" w:eastAsia="zh-CN"/>
        </w:rPr>
        <w:t>）持续推进移风易俗。</w:t>
      </w:r>
      <w:r>
        <w:rPr>
          <w:rFonts w:hint="default" w:ascii="Times New Roman" w:hAnsi="Times New Roman" w:eastAsia="仿宋_GB2312" w:cs="Times New Roman"/>
          <w:b w:val="0"/>
          <w:bCs w:val="0"/>
          <w:sz w:val="32"/>
          <w:szCs w:val="32"/>
          <w:lang w:val="en-US" w:eastAsia="zh-CN"/>
        </w:rPr>
        <w:t>深化移风易俗改革,通过线上平台（微信公众号、短视频等）和线下阵地（社区公告栏、乡村大喇叭、宣传手册</w:t>
      </w:r>
      <w:r>
        <w:rPr>
          <w:rFonts w:hint="eastAsia" w:ascii="Times New Roman" w:hAnsi="Times New Roman" w:eastAsia="仿宋_GB2312" w:cs="Times New Roman"/>
          <w:b w:val="0"/>
          <w:bCs w:val="0"/>
          <w:sz w:val="32"/>
          <w:szCs w:val="32"/>
          <w:lang w:val="en-US" w:eastAsia="zh-CN"/>
        </w:rPr>
        <w:t>等</w:t>
      </w:r>
      <w:r>
        <w:rPr>
          <w:rFonts w:hint="default" w:ascii="Times New Roman" w:hAnsi="Times New Roman" w:eastAsia="仿宋_GB2312" w:cs="Times New Roman"/>
          <w:b w:val="0"/>
          <w:bCs w:val="0"/>
          <w:sz w:val="32"/>
          <w:szCs w:val="32"/>
          <w:lang w:val="en-US" w:eastAsia="zh-CN"/>
        </w:rPr>
        <w:t>）相结合的方式，全方位</w:t>
      </w:r>
      <w:r>
        <w:rPr>
          <w:rFonts w:hint="eastAsia" w:ascii="Times New Roman" w:hAnsi="Times New Roman" w:eastAsia="仿宋_GB2312" w:cs="Times New Roman"/>
          <w:b w:val="0"/>
          <w:bCs w:val="0"/>
          <w:sz w:val="32"/>
          <w:szCs w:val="32"/>
          <w:lang w:val="en-US" w:eastAsia="zh-CN"/>
        </w:rPr>
        <w:t>宣传</w:t>
      </w:r>
      <w:r>
        <w:rPr>
          <w:rFonts w:hint="default" w:ascii="Times New Roman" w:hAnsi="Times New Roman" w:eastAsia="仿宋_GB2312" w:cs="Times New Roman"/>
          <w:b w:val="0"/>
          <w:bCs w:val="0"/>
          <w:sz w:val="32"/>
          <w:szCs w:val="32"/>
          <w:lang w:val="en-US" w:eastAsia="zh-CN"/>
        </w:rPr>
        <w:t>解读殡葬政策</w:t>
      </w:r>
      <w:r>
        <w:rPr>
          <w:rFonts w:hint="eastAsia" w:ascii="Times New Roman" w:hAnsi="Times New Roman" w:eastAsia="仿宋_GB2312" w:cs="Times New Roman"/>
          <w:b w:val="0"/>
          <w:bCs w:val="0"/>
          <w:sz w:val="32"/>
          <w:szCs w:val="32"/>
          <w:lang w:val="en-US" w:eastAsia="zh-CN"/>
        </w:rPr>
        <w:t>、惠民举措及生态安葬理念。</w:t>
      </w:r>
      <w:r>
        <w:rPr>
          <w:rFonts w:hint="default" w:ascii="Times New Roman" w:hAnsi="Times New Roman" w:eastAsia="仿宋_GB2312" w:cs="Times New Roman"/>
          <w:b w:val="0"/>
          <w:bCs w:val="0"/>
          <w:sz w:val="32"/>
          <w:szCs w:val="32"/>
          <w:lang w:val="en-US" w:eastAsia="zh-CN"/>
        </w:rPr>
        <w:t>积极引导群众转变传统丧葬观念，积极推进火葬和改革土葬，推行节地生态安葬方式，从源头上杜绝违规土葬、散埋乱葬等不当行为。倡导文明节俭治丧，规范丧事简报标准，坚决抵制大操大办、厚葬薄养等不良风气。</w:t>
      </w:r>
      <w:r>
        <w:rPr>
          <w:rFonts w:hint="eastAsia" w:ascii="Times New Roman" w:hAnsi="Times New Roman" w:eastAsia="仿宋_GB2312" w:cs="Times New Roman"/>
          <w:b w:val="0"/>
          <w:bCs w:val="0"/>
          <w:sz w:val="32"/>
          <w:szCs w:val="32"/>
          <w:lang w:val="en-US" w:eastAsia="zh-CN"/>
        </w:rPr>
        <w:t>推动将殡葬改革纳入文明单位、文明村镇等考评内容，纳入农村精神文明工作内容，指导村级红白理事会参与移风易俗监督，深化殡葬移风易俗。</w:t>
      </w:r>
      <w:r>
        <w:rPr>
          <w:rFonts w:hint="default" w:ascii="Times New Roman" w:hAnsi="Times New Roman" w:eastAsia="仿宋_GB2312" w:cs="Times New Roman"/>
          <w:b w:val="0"/>
          <w:bCs w:val="0"/>
          <w:sz w:val="32"/>
          <w:szCs w:val="32"/>
          <w:lang w:val="en-US" w:eastAsia="zh-CN"/>
        </w:rPr>
        <w:t>（责任</w:t>
      </w:r>
      <w:r>
        <w:rPr>
          <w:rFonts w:hint="eastAsia" w:ascii="Times New Roman" w:hAnsi="Times New Roman" w:eastAsia="仿宋_GB2312" w:cs="Times New Roman"/>
          <w:b w:val="0"/>
          <w:bCs w:val="0"/>
          <w:sz w:val="32"/>
          <w:szCs w:val="32"/>
          <w:lang w:val="en-US" w:eastAsia="zh-CN"/>
        </w:rPr>
        <w:t>部门</w:t>
      </w:r>
      <w:r>
        <w:rPr>
          <w:rFonts w:hint="default" w:ascii="Times New Roman" w:hAnsi="Times New Roman" w:eastAsia="仿宋_GB2312" w:cs="Times New Roman"/>
          <w:b w:val="0"/>
          <w:bCs w:val="0"/>
          <w:sz w:val="32"/>
          <w:szCs w:val="32"/>
          <w:lang w:val="en-US" w:eastAsia="zh-CN"/>
        </w:rPr>
        <w:t>：宣传、民政、农业农村、城管执法等）</w:t>
      </w:r>
    </w:p>
    <w:p w14:paraId="65F1BDDC">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eastAsia"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三、工作</w:t>
      </w:r>
      <w:r>
        <w:rPr>
          <w:rFonts w:hint="eastAsia" w:ascii="Times New Roman" w:hAnsi="Times New Roman" w:eastAsia="黑体" w:cs="Times New Roman"/>
          <w:sz w:val="32"/>
          <w:szCs w:val="32"/>
          <w:lang w:val="en-US" w:eastAsia="zh-CN"/>
        </w:rPr>
        <w:t>机制</w:t>
      </w:r>
    </w:p>
    <w:p w14:paraId="22C00E20">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sz w:val="32"/>
          <w:szCs w:val="32"/>
          <w:lang w:val="en-US" w:eastAsia="zh-CN"/>
        </w:rPr>
        <w:t>（一）建立议事会商机制。</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市县两级</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要建立</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殡葬</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行业</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跨部门综合监管工作机制或联席会议制度，由民政部门牵头，定期会商研判</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统筹协调</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监管任务，及时</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解决部门间信息共享、线索推送、职责衔接、工作配合等问题。</w:t>
      </w:r>
    </w:p>
    <w:p w14:paraId="70892755">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left"/>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sz w:val="32"/>
          <w:szCs w:val="32"/>
          <w:lang w:val="en-US" w:eastAsia="zh-CN"/>
        </w:rPr>
        <w:t>（二）建立联合执法机制。</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按照“谁主管谁牵头、谁为主谁牵头、谁靠近谁牵头”原则，明确涉及主要事项的部门要作为牵头部门，及时组织相关部门开展联合检查</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专项整治</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及</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常态化监管。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建立健全随机抽查事项清单、检查对象名录库和执法检查人员名录库。对同一监管对象涉及多个部门检查事项的，应积极推行跨部门联合抽查，避免多头重复检查，提升监管效能。</w:t>
      </w:r>
    </w:p>
    <w:p w14:paraId="5414C25D">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left"/>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sz w:val="32"/>
          <w:szCs w:val="32"/>
          <w:lang w:val="en-US" w:eastAsia="zh-CN"/>
        </w:rPr>
        <w:t>（三）建立闭环监管机制。</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建立风险隐患联合监测机制，对重大问题开展跨部门综合研判，提前预警潜在风险。建立健全问题线索主办、分办、转办和查处工作机制，实现线索互联、应查尽查。发现涉嫌犯罪或违纪的线索，及时移送司法机关或纪检监察机关，确保线索处置无遗漏。健全跨部门执法衔接机制，加强行政执法与纪检监察、公安司法的衔接，完善案件移送、双向咨询、情况通报、信息共享、调查结果互认等制度，形成执法闭环合力。</w:t>
      </w:r>
    </w:p>
    <w:p w14:paraId="34506E35">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left"/>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sz w:val="32"/>
          <w:szCs w:val="32"/>
          <w:lang w:val="en-US" w:eastAsia="zh-CN"/>
        </w:rPr>
        <w:t>（四）建立智慧监管机制。</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运用大数据等技术，搭建跨部门综合监管信息平台，推动殡葬服务机构、遗体接运、骨灰流向等信息互联互通，实现源头追溯、联动执法，提升监管智能化水平。</w:t>
      </w:r>
    </w:p>
    <w:p w14:paraId="16550EA2">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left"/>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sz w:val="32"/>
          <w:szCs w:val="32"/>
          <w:lang w:val="en-US" w:eastAsia="zh-CN"/>
        </w:rPr>
        <w:t>（五）建立信用分级分类监管机制。</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建立殡葬服务市场主体和相关从业人员的信用记录制度，实施分级分类监管，推动开展守信联合激励、失信联合惩戒。</w:t>
      </w:r>
    </w:p>
    <w:p w14:paraId="1810A950">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四、保障措施</w:t>
      </w:r>
    </w:p>
    <w:p w14:paraId="508299C1">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bCs/>
          <w:sz w:val="32"/>
          <w:szCs w:val="32"/>
          <w:lang w:val="en-US" w:eastAsia="zh-CN"/>
        </w:rPr>
        <w:t>（一）</w:t>
      </w:r>
      <w:r>
        <w:rPr>
          <w:rFonts w:hint="eastAsia" w:ascii="Times New Roman" w:hAnsi="Times New Roman" w:eastAsia="楷体_GB2312" w:cs="Times New Roman"/>
          <w:b/>
          <w:bCs/>
          <w:sz w:val="32"/>
          <w:szCs w:val="32"/>
          <w:lang w:val="en-US" w:eastAsia="zh-CN"/>
        </w:rPr>
        <w:t>强化</w:t>
      </w:r>
      <w:r>
        <w:rPr>
          <w:rFonts w:hint="default" w:ascii="Times New Roman" w:hAnsi="Times New Roman" w:eastAsia="楷体_GB2312" w:cs="Times New Roman"/>
          <w:b/>
          <w:bCs/>
          <w:sz w:val="32"/>
          <w:szCs w:val="32"/>
          <w:lang w:val="en-US" w:eastAsia="zh-CN"/>
        </w:rPr>
        <w:t>组织领导。</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地方各级人民政府对本</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辖区内的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殡葬监管工作负总责，强化组织、政策、人员、技术、经费等保障，推动形成党委领导、政府负责、部门协作、齐抓共管的工作格局。各相关部门</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要</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切实履行职责，加强协作配合，确保各项监管任务落实到位。</w:t>
      </w:r>
    </w:p>
    <w:p w14:paraId="5B43A057">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bCs/>
          <w:sz w:val="32"/>
          <w:szCs w:val="32"/>
          <w:lang w:val="en-US" w:eastAsia="zh-CN"/>
        </w:rPr>
        <w:t>（二）</w:t>
      </w:r>
      <w:r>
        <w:rPr>
          <w:rFonts w:hint="eastAsia" w:ascii="Times New Roman" w:hAnsi="Times New Roman" w:eastAsia="楷体_GB2312" w:cs="Times New Roman"/>
          <w:b/>
          <w:bCs/>
          <w:sz w:val="32"/>
          <w:szCs w:val="32"/>
          <w:lang w:val="en-US" w:eastAsia="zh-CN"/>
        </w:rPr>
        <w:t>加强队伍建设</w:t>
      </w:r>
      <w:r>
        <w:rPr>
          <w:rFonts w:hint="default" w:ascii="Times New Roman" w:hAnsi="Times New Roman" w:eastAsia="楷体_GB2312" w:cs="Times New Roman"/>
          <w:b/>
          <w:bCs/>
          <w:sz w:val="32"/>
          <w:szCs w:val="32"/>
          <w:lang w:val="en-US" w:eastAsia="zh-CN"/>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开展殡葬</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行业</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多部门联合执法培训，重点提升</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执法</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人员政策解读、执法规范、协同配合等能力。优化殡葬</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行业</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执法力量配置，探索将殡葬执法纳入乡镇（街道）综合执法范围，推动监管资源向基层下沉，夯实基层监管基础。</w:t>
      </w:r>
    </w:p>
    <w:p w14:paraId="21924D62">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（三）严格监督</w:t>
      </w:r>
      <w:r>
        <w:rPr>
          <w:rFonts w:hint="eastAsia" w:ascii="Times New Roman" w:hAnsi="Times New Roman" w:eastAsia="楷体_GB2312" w:cs="Times New Roman"/>
          <w:b/>
          <w:bCs/>
          <w:sz w:val="32"/>
          <w:szCs w:val="32"/>
          <w:lang w:val="en-US" w:eastAsia="zh-CN"/>
        </w:rPr>
        <w:t>问责</w:t>
      </w:r>
      <w:r>
        <w:rPr>
          <w:rFonts w:hint="default" w:ascii="Times New Roman" w:hAnsi="Times New Roman" w:eastAsia="楷体_GB2312" w:cs="Times New Roman"/>
          <w:b/>
          <w:bCs/>
          <w:sz w:val="32"/>
          <w:szCs w:val="32"/>
          <w:lang w:val="en-US" w:eastAsia="zh-CN"/>
        </w:rPr>
        <w:t>。</w:t>
      </w:r>
      <w:r>
        <w:rPr>
          <w:rFonts w:hint="default" w:ascii="Times New Roman" w:hAnsi="Times New Roman" w:eastAsia="仿宋_GB2312" w:cs="Times New Roman"/>
          <w:sz w:val="32"/>
          <w:szCs w:val="32"/>
          <w:lang w:val="en-US" w:eastAsia="zh-CN"/>
        </w:rPr>
        <w:t>各有关部门要坚持问题导向、目标导向、结果导向，对工作推进不及时，监管落实不到位，综合运用通报、约谈、考评等手段，推动责任落实。对推诿扯皮、推脱责任、监管不力、执法不严等影响跨部门综合监管工作推进的，要进行追责问责。</w:t>
      </w:r>
    </w:p>
    <w:p w14:paraId="3BF79D80">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bCs/>
          <w:sz w:val="32"/>
          <w:szCs w:val="32"/>
          <w:lang w:val="en-US" w:eastAsia="zh-CN"/>
        </w:rPr>
        <w:t>（四）</w:t>
      </w:r>
      <w:r>
        <w:rPr>
          <w:rFonts w:hint="eastAsia" w:ascii="Times New Roman" w:hAnsi="Times New Roman" w:eastAsia="楷体_GB2312" w:cs="Times New Roman"/>
          <w:b/>
          <w:bCs/>
          <w:sz w:val="32"/>
          <w:szCs w:val="32"/>
          <w:lang w:val="en-US" w:eastAsia="zh-CN"/>
        </w:rPr>
        <w:t>加大宣传教育。</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利用多种媒体平台，广泛宣传殡葬法规政策和文明殡葬理念，曝光违法违规典型案例，发挥党员干部表率作用和村（居）红白理事会宣传引导作用，破除陈规陋习，营造良好社会氛围。</w:t>
      </w:r>
    </w:p>
    <w:p w14:paraId="143F673D">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default" w:ascii="Times New Roman" w:hAnsi="Times New Roman" w:eastAsia="仿宋_GB2312" w:cs="Times New Roman"/>
          <w:sz w:val="32"/>
          <w:szCs w:val="32"/>
          <w:lang w:val="en-US" w:eastAsia="zh-CN"/>
        </w:rPr>
      </w:pPr>
    </w:p>
    <w:p w14:paraId="12C800AC">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附件：殡葬</w:t>
      </w:r>
      <w:r>
        <w:rPr>
          <w:rFonts w:hint="eastAsia" w:ascii="Times New Roman" w:hAnsi="Times New Roman" w:eastAsia="仿宋_GB2312" w:cs="Times New Roman"/>
          <w:sz w:val="32"/>
          <w:szCs w:val="32"/>
          <w:lang w:val="en-US" w:eastAsia="zh-CN"/>
        </w:rPr>
        <w:t>行业</w:t>
      </w:r>
      <w:r>
        <w:rPr>
          <w:rFonts w:hint="default" w:ascii="Times New Roman" w:hAnsi="Times New Roman" w:eastAsia="仿宋_GB2312" w:cs="Times New Roman"/>
          <w:sz w:val="32"/>
          <w:szCs w:val="32"/>
          <w:lang w:val="en-US" w:eastAsia="zh-CN"/>
        </w:rPr>
        <w:t>跨部门综合监管部门职责分工表</w:t>
      </w:r>
    </w:p>
    <w:p w14:paraId="7D768F7F">
      <w:pP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br w:type="page"/>
      </w:r>
    </w:p>
    <w:p w14:paraId="23F382E5">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w:t>
      </w:r>
    </w:p>
    <w:p w14:paraId="15E00EDE">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仿宋_GB2312" w:cs="Times New Roman"/>
          <w:sz w:val="32"/>
          <w:szCs w:val="32"/>
          <w:lang w:val="en-US" w:eastAsia="zh-CN"/>
        </w:rPr>
      </w:pPr>
    </w:p>
    <w:p w14:paraId="521BF067">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殡葬</w:t>
      </w:r>
      <w:r>
        <w:rPr>
          <w:rFonts w:hint="eastAsia" w:ascii="Times New Roman" w:hAnsi="Times New Roman" w:eastAsia="方正小标宋简体" w:cs="Times New Roman"/>
          <w:sz w:val="44"/>
          <w:szCs w:val="44"/>
          <w:lang w:val="en-US" w:eastAsia="zh-CN"/>
        </w:rPr>
        <w:t>行业</w:t>
      </w:r>
      <w:r>
        <w:rPr>
          <w:rFonts w:hint="default" w:ascii="Times New Roman" w:hAnsi="Times New Roman" w:eastAsia="方正小标宋简体" w:cs="Times New Roman"/>
          <w:sz w:val="44"/>
          <w:szCs w:val="44"/>
          <w:lang w:val="en-US" w:eastAsia="zh-CN"/>
        </w:rPr>
        <w:t>跨部门综合监管部门职责分工表</w:t>
      </w:r>
    </w:p>
    <w:p w14:paraId="30A5DA58">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sz w:val="32"/>
          <w:szCs w:val="32"/>
          <w:lang w:val="en-US" w:eastAsia="zh-CN"/>
        </w:rPr>
      </w:pPr>
    </w:p>
    <w:tbl>
      <w:tblPr>
        <w:tblStyle w:val="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10"/>
        <w:gridCol w:w="7002"/>
      </w:tblGrid>
      <w:tr w14:paraId="577C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jc w:val="center"/>
        </w:trPr>
        <w:tc>
          <w:tcPr>
            <w:tcW w:w="887" w:type="pct"/>
            <w:vAlign w:val="center"/>
          </w:tcPr>
          <w:p w14:paraId="7BF5823D">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黑体" w:hAnsi="黑体" w:eastAsia="黑体" w:cs="黑体"/>
                <w:b/>
                <w:bCs/>
                <w:sz w:val="28"/>
                <w:szCs w:val="28"/>
                <w:vertAlign w:val="baseline"/>
                <w:lang w:val="en-US" w:eastAsia="zh-CN"/>
              </w:rPr>
            </w:pPr>
            <w:r>
              <w:rPr>
                <w:rFonts w:hint="eastAsia" w:ascii="黑体" w:hAnsi="黑体" w:eastAsia="黑体" w:cs="黑体"/>
                <w:b/>
                <w:bCs/>
                <w:sz w:val="28"/>
                <w:szCs w:val="28"/>
                <w:vertAlign w:val="baseline"/>
                <w:lang w:val="en-US" w:eastAsia="zh-CN"/>
              </w:rPr>
              <w:t>部　门</w:t>
            </w:r>
          </w:p>
        </w:tc>
        <w:tc>
          <w:tcPr>
            <w:tcW w:w="4112" w:type="pct"/>
            <w:vAlign w:val="center"/>
          </w:tcPr>
          <w:p w14:paraId="7F066D37">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黑体" w:hAnsi="黑体" w:eastAsia="黑体" w:cs="黑体"/>
                <w:b/>
                <w:bCs/>
                <w:sz w:val="28"/>
                <w:szCs w:val="28"/>
                <w:vertAlign w:val="baseline"/>
                <w:lang w:val="en-US" w:eastAsia="zh-CN"/>
              </w:rPr>
            </w:pPr>
            <w:r>
              <w:rPr>
                <w:rFonts w:hint="eastAsia" w:ascii="黑体" w:hAnsi="黑体" w:eastAsia="黑体" w:cs="黑体"/>
                <w:b/>
                <w:bCs/>
                <w:sz w:val="28"/>
                <w:szCs w:val="28"/>
                <w:vertAlign w:val="baseline"/>
                <w:lang w:val="en-US" w:eastAsia="zh-CN"/>
              </w:rPr>
              <w:t>职责分工</w:t>
            </w:r>
          </w:p>
        </w:tc>
      </w:tr>
      <w:tr w14:paraId="35C75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9" w:hRule="atLeast"/>
          <w:jc w:val="center"/>
        </w:trPr>
        <w:tc>
          <w:tcPr>
            <w:tcW w:w="887" w:type="pct"/>
            <w:vAlign w:val="center"/>
          </w:tcPr>
          <w:p w14:paraId="37965655">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民政局</w:t>
            </w:r>
          </w:p>
        </w:tc>
        <w:tc>
          <w:tcPr>
            <w:tcW w:w="4112" w:type="pct"/>
            <w:vAlign w:val="center"/>
          </w:tcPr>
          <w:p w14:paraId="47668E5C">
            <w:pPr>
              <w:keepNext w:val="0"/>
              <w:keepLines w:val="0"/>
              <w:pageBreakBefore w:val="0"/>
              <w:widowControl w:val="0"/>
              <w:kinsoku/>
              <w:wordWrap/>
              <w:overflowPunct/>
              <w:topLinePunct w:val="0"/>
              <w:autoSpaceDE/>
              <w:autoSpaceDN/>
              <w:bidi w:val="0"/>
              <w:adjustRightInd/>
              <w:snapToGrid w:val="0"/>
              <w:spacing w:line="380" w:lineRule="exact"/>
              <w:ind w:firstLine="560" w:firstLineChars="200"/>
              <w:jc w:val="both"/>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lang w:val="en-US" w:eastAsia="zh-CN"/>
              </w:rPr>
              <w:t>统筹殡葬行业跨部门综合监管工作，牵头建立跨部门监管管机制，组织开展联合执法与检查，推动监管信息共享与智慧平台建设，健全信用监管与线索移送机制，统筹推进殡葬领域各项监管任务落实；切实履行行业主管责任，监管殡葬设施的规划布局、设立审批及运营规范，严查违规建设公墓、销售“活人墓”“豪华墓”等行为；规范殡仪馆、公墓等机构的运营流程、服务标准及收费行为等，落实惠民殡葬政策与节地生态安葬奖补政策；监管遗体接运、火化、骨灰处置等关键环节，制止非法转运、买卖尸体等违法违规行为；牵头查处违规生产销售封建迷信殡葬用品、不符合标准殡葬设备等行为，制止大操大办、散埋乱葬等不良风气；统筹推进殡葬改革与移风易俗。</w:t>
            </w:r>
          </w:p>
        </w:tc>
      </w:tr>
      <w:tr w14:paraId="60AA3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87" w:type="pct"/>
            <w:vAlign w:val="center"/>
          </w:tcPr>
          <w:p w14:paraId="1515BAB3">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宣传部</w:t>
            </w:r>
          </w:p>
        </w:tc>
        <w:tc>
          <w:tcPr>
            <w:tcW w:w="4112" w:type="pct"/>
            <w:vAlign w:val="center"/>
          </w:tcPr>
          <w:p w14:paraId="6C85B842">
            <w:pPr>
              <w:keepNext w:val="0"/>
              <w:keepLines w:val="0"/>
              <w:pageBreakBefore w:val="0"/>
              <w:widowControl w:val="0"/>
              <w:kinsoku/>
              <w:wordWrap/>
              <w:overflowPunct/>
              <w:topLinePunct w:val="0"/>
              <w:autoSpaceDE/>
              <w:autoSpaceDN/>
              <w:bidi w:val="0"/>
              <w:adjustRightInd/>
              <w:snapToGrid w:val="0"/>
              <w:spacing w:line="380" w:lineRule="exact"/>
              <w:ind w:firstLine="560" w:firstLineChars="200"/>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负责殡葬行业宣传引导工作，宣传解读殡葬法规政策、惠民举措及生态安葬理念，广泛开展文明新风、移风易俗宣传；引导媒体舆论，及时回应社会关切；将殡葬改革纳入文明单位、文明村镇考评内容，纳入农村精神文明建设工作内容等工作。</w:t>
            </w:r>
          </w:p>
        </w:tc>
      </w:tr>
      <w:tr w14:paraId="30A5E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87" w:type="pct"/>
            <w:vAlign w:val="center"/>
          </w:tcPr>
          <w:p w14:paraId="5A883404">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网络安全和信息化委员会办公室</w:t>
            </w:r>
          </w:p>
        </w:tc>
        <w:tc>
          <w:tcPr>
            <w:tcW w:w="4112" w:type="pct"/>
            <w:vAlign w:val="center"/>
          </w:tcPr>
          <w:p w14:paraId="21FA89E3">
            <w:pPr>
              <w:keepNext w:val="0"/>
              <w:keepLines w:val="0"/>
              <w:pageBreakBefore w:val="0"/>
              <w:widowControl w:val="0"/>
              <w:kinsoku/>
              <w:wordWrap/>
              <w:overflowPunct/>
              <w:topLinePunct w:val="0"/>
              <w:autoSpaceDE/>
              <w:autoSpaceDN/>
              <w:bidi w:val="0"/>
              <w:adjustRightInd/>
              <w:snapToGrid w:val="0"/>
              <w:spacing w:line="380" w:lineRule="exact"/>
              <w:ind w:firstLine="560" w:firstLineChars="200"/>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负责强化网络祭扫平台监管，查处诱导消费、传播低俗迷信内容等行为；禁止平台为违规网络祭扫、网络治丧提供导流服务；清理违背公序良俗的网络殡葬信息。</w:t>
            </w:r>
          </w:p>
        </w:tc>
      </w:tr>
      <w:tr w14:paraId="6FCFC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87" w:type="pct"/>
            <w:vAlign w:val="center"/>
          </w:tcPr>
          <w:p w14:paraId="389B73E4">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人民法院</w:t>
            </w:r>
          </w:p>
        </w:tc>
        <w:tc>
          <w:tcPr>
            <w:tcW w:w="4112" w:type="pct"/>
            <w:vAlign w:val="center"/>
          </w:tcPr>
          <w:p w14:paraId="186B26F4">
            <w:pPr>
              <w:keepNext w:val="0"/>
              <w:keepLines w:val="0"/>
              <w:pageBreakBefore w:val="0"/>
              <w:widowControl w:val="0"/>
              <w:kinsoku/>
              <w:wordWrap/>
              <w:overflowPunct/>
              <w:topLinePunct w:val="0"/>
              <w:autoSpaceDE/>
              <w:autoSpaceDN/>
              <w:bidi w:val="0"/>
              <w:adjustRightInd/>
              <w:snapToGrid w:val="0"/>
              <w:spacing w:line="380" w:lineRule="exact"/>
              <w:ind w:firstLine="560" w:firstLineChars="200"/>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负责依法审查殡葬行业行政强制执行申请并作出裁定；办理殡葬相关行政、民事案件；健全行政执法与司法衔接机制，规范案件移送及结果互认流程。</w:t>
            </w:r>
          </w:p>
        </w:tc>
      </w:tr>
      <w:tr w14:paraId="2946D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87" w:type="pct"/>
            <w:vAlign w:val="center"/>
          </w:tcPr>
          <w:p w14:paraId="31C7AA07">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sz w:val="28"/>
                <w:szCs w:val="28"/>
                <w:lang w:val="en-US" w:eastAsia="zh-CN"/>
              </w:rPr>
              <w:t>发展和改革委员会</w:t>
            </w:r>
          </w:p>
        </w:tc>
        <w:tc>
          <w:tcPr>
            <w:tcW w:w="4112" w:type="pct"/>
            <w:vAlign w:val="center"/>
          </w:tcPr>
          <w:p w14:paraId="16961C91">
            <w:pPr>
              <w:keepNext w:val="0"/>
              <w:keepLines w:val="0"/>
              <w:pageBreakBefore w:val="0"/>
              <w:widowControl w:val="0"/>
              <w:kinsoku/>
              <w:wordWrap/>
              <w:overflowPunct/>
              <w:topLinePunct w:val="0"/>
              <w:autoSpaceDE/>
              <w:autoSpaceDN/>
              <w:bidi w:val="0"/>
              <w:adjustRightInd/>
              <w:snapToGrid w:val="0"/>
              <w:spacing w:line="380" w:lineRule="exact"/>
              <w:ind w:firstLine="560" w:firstLineChars="200"/>
              <w:jc w:val="both"/>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sz w:val="28"/>
                <w:szCs w:val="28"/>
                <w:lang w:val="en-US" w:eastAsia="zh-CN"/>
              </w:rPr>
              <w:t>负责将殡葬事业纳入经济社会发展总体规划，审批、核准殡葬设施项目建设；加强殡葬服务收费监督管理，核定政府定价、政府指导价殡葬服务项目标准，及对市场调节价管理的殡葬服务项目指导定价；开展殡葬服务用品成本调查。</w:t>
            </w:r>
          </w:p>
        </w:tc>
      </w:tr>
      <w:tr w14:paraId="1554E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87" w:type="pct"/>
            <w:vAlign w:val="center"/>
          </w:tcPr>
          <w:p w14:paraId="04057E34">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民族宗教事务局</w:t>
            </w:r>
          </w:p>
        </w:tc>
        <w:tc>
          <w:tcPr>
            <w:tcW w:w="4112" w:type="pct"/>
            <w:vAlign w:val="center"/>
          </w:tcPr>
          <w:p w14:paraId="1214BDE3">
            <w:pPr>
              <w:keepNext w:val="0"/>
              <w:keepLines w:val="0"/>
              <w:pageBreakBefore w:val="0"/>
              <w:widowControl w:val="0"/>
              <w:kinsoku/>
              <w:wordWrap/>
              <w:overflowPunct/>
              <w:topLinePunct w:val="0"/>
              <w:autoSpaceDE/>
              <w:autoSpaceDN/>
              <w:bidi w:val="0"/>
              <w:adjustRightInd/>
              <w:snapToGrid w:val="0"/>
              <w:spacing w:line="380" w:lineRule="exact"/>
              <w:ind w:firstLine="560" w:firstLineChars="200"/>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负责规范宗教活动场所内治丧祭扫行为；制止宗教场所内开展封建迷信活动、违规殡葬服务；引导宗教界人士践行文明殡葬新风，配合推进移风易俗。</w:t>
            </w:r>
          </w:p>
        </w:tc>
      </w:tr>
      <w:tr w14:paraId="221E7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87" w:type="pct"/>
            <w:vAlign w:val="center"/>
          </w:tcPr>
          <w:p w14:paraId="250F7137">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公安局</w:t>
            </w:r>
          </w:p>
        </w:tc>
        <w:tc>
          <w:tcPr>
            <w:tcW w:w="4112" w:type="pct"/>
            <w:vAlign w:val="center"/>
          </w:tcPr>
          <w:p w14:paraId="74635055">
            <w:pPr>
              <w:keepNext w:val="0"/>
              <w:keepLines w:val="0"/>
              <w:pageBreakBefore w:val="0"/>
              <w:widowControl w:val="0"/>
              <w:kinsoku/>
              <w:wordWrap/>
              <w:overflowPunct/>
              <w:topLinePunct w:val="0"/>
              <w:autoSpaceDE/>
              <w:autoSpaceDN/>
              <w:bidi w:val="0"/>
              <w:adjustRightInd/>
              <w:snapToGrid w:val="0"/>
              <w:spacing w:line="380" w:lineRule="exact"/>
              <w:ind w:firstLine="560" w:firstLineChars="200"/>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负责无人认领处置工作，包括勘查、检验、出具证明、发布认领信息等；依法依规查处违规开具或买卖死亡证明和火化证明、买卖尸体、人体组织和器官、涉黑涉恶、诈骗等犯罪行为；监管殡葬专用车辆违规运营；处置殡葬活动中突发的治安事件和阻碍执法、暴力抗法行为。</w:t>
            </w:r>
          </w:p>
        </w:tc>
      </w:tr>
      <w:tr w14:paraId="5FD9E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87" w:type="pct"/>
            <w:vAlign w:val="center"/>
          </w:tcPr>
          <w:p w14:paraId="24097FDD">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财政局</w:t>
            </w:r>
          </w:p>
        </w:tc>
        <w:tc>
          <w:tcPr>
            <w:tcW w:w="4112" w:type="pct"/>
            <w:vAlign w:val="center"/>
          </w:tcPr>
          <w:p w14:paraId="1101739B">
            <w:pPr>
              <w:keepNext w:val="0"/>
              <w:keepLines w:val="0"/>
              <w:pageBreakBefore w:val="0"/>
              <w:widowControl w:val="0"/>
              <w:kinsoku/>
              <w:wordWrap/>
              <w:overflowPunct/>
              <w:topLinePunct w:val="0"/>
              <w:autoSpaceDE/>
              <w:autoSpaceDN/>
              <w:bidi w:val="0"/>
              <w:adjustRightInd/>
              <w:snapToGrid w:val="0"/>
              <w:spacing w:line="380" w:lineRule="exact"/>
              <w:ind w:firstLine="560" w:firstLineChars="200"/>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负责加强对殡葬服务收费和财政资金使用的监管，保障殡葬经费。</w:t>
            </w:r>
          </w:p>
        </w:tc>
      </w:tr>
      <w:tr w14:paraId="0AEF1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87" w:type="pct"/>
            <w:vAlign w:val="center"/>
          </w:tcPr>
          <w:p w14:paraId="54F1DC91">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lang w:val="en-US" w:eastAsia="zh-CN"/>
              </w:rPr>
              <w:t>自然资源和规划局</w:t>
            </w:r>
          </w:p>
        </w:tc>
        <w:tc>
          <w:tcPr>
            <w:tcW w:w="4112" w:type="pct"/>
            <w:vAlign w:val="center"/>
          </w:tcPr>
          <w:p w14:paraId="05B4AF47">
            <w:pPr>
              <w:keepNext w:val="0"/>
              <w:keepLines w:val="0"/>
              <w:pageBreakBefore w:val="0"/>
              <w:widowControl w:val="0"/>
              <w:kinsoku/>
              <w:wordWrap/>
              <w:overflowPunct/>
              <w:topLinePunct w:val="0"/>
              <w:autoSpaceDE/>
              <w:autoSpaceDN/>
              <w:bidi w:val="0"/>
              <w:adjustRightInd/>
              <w:snapToGrid w:val="0"/>
              <w:spacing w:line="380" w:lineRule="exact"/>
              <w:ind w:firstLine="560" w:firstLineChars="200"/>
              <w:jc w:val="both"/>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lang w:val="en-US" w:eastAsia="zh-CN"/>
              </w:rPr>
              <w:t>负责殡葬服务机构和服务设施用地纳入城乡建设和基本建设规划；查处未经审批擅自建设殡葬设施，以及公墓私自扩大审批面积、改变规划确定的土地用途、转让殡葬用地等行为。</w:t>
            </w:r>
          </w:p>
        </w:tc>
      </w:tr>
      <w:tr w14:paraId="40255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87" w:type="pct"/>
            <w:vAlign w:val="center"/>
          </w:tcPr>
          <w:p w14:paraId="11611F6D">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eastAsia="zh-CN"/>
              </w:rPr>
              <w:t>生态环境局</w:t>
            </w:r>
          </w:p>
        </w:tc>
        <w:tc>
          <w:tcPr>
            <w:tcW w:w="4112" w:type="pct"/>
            <w:vAlign w:val="center"/>
          </w:tcPr>
          <w:p w14:paraId="3E7CB88E">
            <w:pPr>
              <w:keepNext w:val="0"/>
              <w:keepLines w:val="0"/>
              <w:pageBreakBefore w:val="0"/>
              <w:widowControl w:val="0"/>
              <w:kinsoku/>
              <w:wordWrap/>
              <w:overflowPunct/>
              <w:topLinePunct w:val="0"/>
              <w:autoSpaceDE/>
              <w:autoSpaceDN/>
              <w:bidi w:val="0"/>
              <w:adjustRightInd/>
              <w:snapToGrid w:val="0"/>
              <w:spacing w:line="380" w:lineRule="exact"/>
              <w:ind w:firstLine="560" w:firstLineChars="200"/>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负责依法依规治理饮用水水源保护区内非法建造、扩建墓地的散埋乱葬行为。</w:t>
            </w:r>
          </w:p>
        </w:tc>
      </w:tr>
      <w:tr w14:paraId="2A13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87" w:type="pct"/>
            <w:vAlign w:val="center"/>
          </w:tcPr>
          <w:p w14:paraId="4821AD87">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住房和城乡建设局</w:t>
            </w:r>
          </w:p>
        </w:tc>
        <w:tc>
          <w:tcPr>
            <w:tcW w:w="4112" w:type="pct"/>
            <w:vAlign w:val="center"/>
          </w:tcPr>
          <w:p w14:paraId="2596CF08">
            <w:pPr>
              <w:keepNext w:val="0"/>
              <w:keepLines w:val="0"/>
              <w:pageBreakBefore w:val="0"/>
              <w:widowControl w:val="0"/>
              <w:kinsoku/>
              <w:wordWrap/>
              <w:overflowPunct/>
              <w:topLinePunct w:val="0"/>
              <w:autoSpaceDE/>
              <w:autoSpaceDN/>
              <w:bidi w:val="0"/>
              <w:adjustRightInd/>
              <w:snapToGrid w:val="0"/>
              <w:spacing w:line="380" w:lineRule="exact"/>
              <w:ind w:firstLine="560" w:firstLineChars="200"/>
              <w:jc w:val="both"/>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lang w:val="en-US" w:eastAsia="zh-CN"/>
              </w:rPr>
              <w:t>负责参与殡葬设施违规建设的联合排查与处置；配合落实殡葬领域的城乡规划配套要求。</w:t>
            </w:r>
          </w:p>
        </w:tc>
      </w:tr>
      <w:tr w14:paraId="14F3C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87" w:type="pct"/>
            <w:vAlign w:val="center"/>
          </w:tcPr>
          <w:p w14:paraId="7BDF2C82">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sz w:val="28"/>
                <w:szCs w:val="28"/>
                <w:lang w:eastAsia="zh-CN"/>
              </w:rPr>
              <w:t>农业农村局</w:t>
            </w:r>
          </w:p>
        </w:tc>
        <w:tc>
          <w:tcPr>
            <w:tcW w:w="4112" w:type="pct"/>
            <w:vAlign w:val="center"/>
          </w:tcPr>
          <w:p w14:paraId="437A8040">
            <w:pPr>
              <w:keepNext w:val="0"/>
              <w:keepLines w:val="0"/>
              <w:pageBreakBefore w:val="0"/>
              <w:widowControl w:val="0"/>
              <w:kinsoku/>
              <w:wordWrap/>
              <w:overflowPunct/>
              <w:topLinePunct w:val="0"/>
              <w:autoSpaceDE/>
              <w:autoSpaceDN/>
              <w:bidi w:val="0"/>
              <w:adjustRightInd/>
              <w:snapToGrid w:val="0"/>
              <w:spacing w:line="3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val="0"/>
                <w:bCs w:val="0"/>
                <w:sz w:val="28"/>
                <w:szCs w:val="28"/>
                <w:lang w:val="en-US" w:eastAsia="zh-CN"/>
              </w:rPr>
              <w:t>负责依法依规治理在农耕区非法建造、扩建墓地等行为；指导村级红白理事会参与移风易俗和文明治丧监督，推进殡葬乡风文明建设。</w:t>
            </w:r>
          </w:p>
        </w:tc>
      </w:tr>
      <w:tr w14:paraId="249FE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87" w:type="pct"/>
            <w:vAlign w:val="center"/>
          </w:tcPr>
          <w:p w14:paraId="6121BEBE">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lang w:val="en-US" w:eastAsia="zh-CN"/>
              </w:rPr>
              <w:t>卫生健康委员会</w:t>
            </w:r>
          </w:p>
        </w:tc>
        <w:tc>
          <w:tcPr>
            <w:tcW w:w="4112" w:type="pct"/>
            <w:vAlign w:val="center"/>
          </w:tcPr>
          <w:p w14:paraId="28FF4AE6">
            <w:pPr>
              <w:keepNext w:val="0"/>
              <w:keepLines w:val="0"/>
              <w:pageBreakBefore w:val="0"/>
              <w:widowControl w:val="0"/>
              <w:kinsoku/>
              <w:wordWrap/>
              <w:overflowPunct/>
              <w:topLinePunct w:val="0"/>
              <w:autoSpaceDE/>
              <w:autoSpaceDN/>
              <w:bidi w:val="0"/>
              <w:adjustRightInd/>
              <w:snapToGrid w:val="0"/>
              <w:spacing w:line="380" w:lineRule="exact"/>
              <w:ind w:firstLine="560" w:firstLineChars="200"/>
              <w:jc w:val="both"/>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lang w:val="en-US" w:eastAsia="zh-CN"/>
              </w:rPr>
              <w:t>负责规范医疗卫生机构出具死亡证明及太平间等暂存遗体场所的监管，查处医疗机构违规开具死亡证明、急救车辆违规从事遗体接运业务、工作人员非法提供丧者及其家属信息等行为。</w:t>
            </w:r>
          </w:p>
        </w:tc>
      </w:tr>
      <w:tr w14:paraId="76ED7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887" w:type="pct"/>
            <w:vAlign w:val="center"/>
          </w:tcPr>
          <w:p w14:paraId="1E55171C">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中国人民银行衡阳市分行</w:t>
            </w:r>
          </w:p>
        </w:tc>
        <w:tc>
          <w:tcPr>
            <w:tcW w:w="4112" w:type="pct"/>
            <w:vAlign w:val="center"/>
          </w:tcPr>
          <w:p w14:paraId="726795D6">
            <w:pPr>
              <w:keepNext w:val="0"/>
              <w:keepLines w:val="0"/>
              <w:pageBreakBefore w:val="0"/>
              <w:widowControl w:val="0"/>
              <w:kinsoku/>
              <w:wordWrap/>
              <w:overflowPunct/>
              <w:topLinePunct w:val="0"/>
              <w:autoSpaceDE/>
              <w:autoSpaceDN/>
              <w:bidi w:val="0"/>
              <w:adjustRightInd/>
              <w:snapToGrid w:val="0"/>
              <w:spacing w:line="3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val="0"/>
                <w:bCs w:val="0"/>
                <w:sz w:val="28"/>
                <w:szCs w:val="28"/>
                <w:lang w:val="en-US" w:eastAsia="zh-CN"/>
              </w:rPr>
              <w:t>负责依法予以查处仿制或使用人民币图样的丧葬祭祀用品。</w:t>
            </w:r>
          </w:p>
        </w:tc>
      </w:tr>
      <w:tr w14:paraId="0651D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87" w:type="pct"/>
            <w:vAlign w:val="center"/>
          </w:tcPr>
          <w:p w14:paraId="6F75531C">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市场监督管理局</w:t>
            </w:r>
          </w:p>
        </w:tc>
        <w:tc>
          <w:tcPr>
            <w:tcW w:w="4112" w:type="pct"/>
            <w:vAlign w:val="center"/>
          </w:tcPr>
          <w:p w14:paraId="3F92F8F2">
            <w:pPr>
              <w:keepNext w:val="0"/>
              <w:keepLines w:val="0"/>
              <w:pageBreakBefore w:val="0"/>
              <w:widowControl w:val="0"/>
              <w:kinsoku/>
              <w:wordWrap/>
              <w:overflowPunct/>
              <w:topLinePunct w:val="0"/>
              <w:autoSpaceDE/>
              <w:autoSpaceDN/>
              <w:bidi w:val="0"/>
              <w:adjustRightInd/>
              <w:snapToGrid w:val="0"/>
              <w:spacing w:line="3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val="0"/>
                <w:bCs w:val="0"/>
                <w:sz w:val="28"/>
                <w:szCs w:val="28"/>
                <w:lang w:val="en-US" w:eastAsia="zh-CN"/>
              </w:rPr>
              <w:t>负责执行政府定价、政府指导价，查处不明码标价、价格欺诈、强制服务收费、只收费不服务等违法行为；查处不公平高价、限定交易等垄断行为；查处无照经营和超范围经营丧葬用品、提供殡仪服务以及生产销售违反法律法规或违背公序良俗的丧葬用品等行为。</w:t>
            </w:r>
          </w:p>
        </w:tc>
      </w:tr>
      <w:tr w14:paraId="0FAAB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87" w:type="pct"/>
            <w:vAlign w:val="center"/>
          </w:tcPr>
          <w:p w14:paraId="32E85916">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林业局</w:t>
            </w:r>
          </w:p>
        </w:tc>
        <w:tc>
          <w:tcPr>
            <w:tcW w:w="4112" w:type="pct"/>
            <w:vAlign w:val="center"/>
          </w:tcPr>
          <w:p w14:paraId="4A918411">
            <w:pPr>
              <w:keepNext w:val="0"/>
              <w:keepLines w:val="0"/>
              <w:pageBreakBefore w:val="0"/>
              <w:widowControl w:val="0"/>
              <w:kinsoku/>
              <w:wordWrap/>
              <w:overflowPunct/>
              <w:topLinePunct w:val="0"/>
              <w:autoSpaceDE/>
              <w:autoSpaceDN/>
              <w:bidi w:val="0"/>
              <w:adjustRightInd/>
              <w:snapToGrid w:val="0"/>
              <w:spacing w:line="380" w:lineRule="exact"/>
              <w:ind w:firstLine="560" w:firstLineChars="200"/>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负责殡葬服务机构使用林（草）地的审核审批和管理；依法查处公墓、坟墓非法占用林（草）的行为；督促指导相关责任主体恢复林业生产条件及植被。</w:t>
            </w:r>
          </w:p>
        </w:tc>
      </w:tr>
      <w:tr w14:paraId="6BC0A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87" w:type="pct"/>
            <w:vAlign w:val="center"/>
          </w:tcPr>
          <w:p w14:paraId="05B632BD">
            <w:pPr>
              <w:keepNext w:val="0"/>
              <w:keepLines w:val="0"/>
              <w:pageBreakBefore w:val="0"/>
              <w:widowControl w:val="0"/>
              <w:kinsoku/>
              <w:wordWrap/>
              <w:overflowPunct/>
              <w:topLinePunct w:val="0"/>
              <w:autoSpaceDE/>
              <w:autoSpaceDN/>
              <w:bidi w:val="0"/>
              <w:adjustRightInd/>
              <w:snapToGrid w:val="0"/>
              <w:spacing w:line="380" w:lineRule="exact"/>
              <w:ind w:firstLine="0" w:firstLineChars="0"/>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lang w:val="en-US" w:eastAsia="zh-CN"/>
              </w:rPr>
              <w:t>城管执法局</w:t>
            </w:r>
          </w:p>
        </w:tc>
        <w:tc>
          <w:tcPr>
            <w:tcW w:w="4112" w:type="pct"/>
            <w:vAlign w:val="center"/>
          </w:tcPr>
          <w:p w14:paraId="1B2B70F6">
            <w:pPr>
              <w:keepNext w:val="0"/>
              <w:keepLines w:val="0"/>
              <w:pageBreakBefore w:val="0"/>
              <w:widowControl w:val="0"/>
              <w:kinsoku/>
              <w:wordWrap/>
              <w:overflowPunct/>
              <w:topLinePunct w:val="0"/>
              <w:autoSpaceDE/>
              <w:autoSpaceDN/>
              <w:bidi w:val="0"/>
              <w:adjustRightInd/>
              <w:snapToGrid w:val="0"/>
              <w:spacing w:line="380" w:lineRule="exact"/>
              <w:ind w:firstLine="560" w:firstLineChars="200"/>
              <w:jc w:val="both"/>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lang w:val="en-US" w:eastAsia="zh-CN"/>
              </w:rPr>
              <w:t>查处沿街抛洒焚烧纸钱、燃放鞭炮等违规行为；制止城市公共场所违规搭设灵棚、占道治丧等妨碍公共秩序的行为；配合开展殡葬领域市容环境专项整治。</w:t>
            </w:r>
          </w:p>
        </w:tc>
      </w:tr>
    </w:tbl>
    <w:p w14:paraId="07C32E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z w:val="24"/>
          <w:szCs w:val="24"/>
          <w:lang w:val="en-US" w:eastAsia="zh-CN"/>
        </w:rPr>
      </w:pPr>
    </w:p>
    <w:p w14:paraId="43CE4779">
      <w:pPr>
        <w:rPr>
          <w:rFonts w:hint="default" w:ascii="Times New Roman" w:hAnsi="Times New Roman" w:cs="Times New Roman"/>
          <w:b w:val="0"/>
          <w:bCs w:val="0"/>
          <w:lang w:val="en-US" w:eastAsia="zh-CN"/>
        </w:rPr>
      </w:pPr>
    </w:p>
    <w:sectPr>
      <w:footerReference r:id="rId3" w:type="default"/>
      <w:pgSz w:w="11906" w:h="16838"/>
      <w:pgMar w:top="1701" w:right="1701" w:bottom="1417" w:left="1701" w:header="851" w:footer="113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17A6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C2423A">
                          <w:pPr>
                            <w:pStyle w:val="2"/>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C2423A">
                    <w:pPr>
                      <w:pStyle w:val="2"/>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BB18FD"/>
    <w:rsid w:val="015679D0"/>
    <w:rsid w:val="01DE5BBA"/>
    <w:rsid w:val="02C6010B"/>
    <w:rsid w:val="03A10CAA"/>
    <w:rsid w:val="045413CC"/>
    <w:rsid w:val="04D77EBA"/>
    <w:rsid w:val="05740424"/>
    <w:rsid w:val="06C7446F"/>
    <w:rsid w:val="06D9102F"/>
    <w:rsid w:val="06E72E78"/>
    <w:rsid w:val="07074665"/>
    <w:rsid w:val="089F6C8F"/>
    <w:rsid w:val="08B763CF"/>
    <w:rsid w:val="0ABB4D47"/>
    <w:rsid w:val="0B404C28"/>
    <w:rsid w:val="0BC1013B"/>
    <w:rsid w:val="0D356A69"/>
    <w:rsid w:val="0DC5550E"/>
    <w:rsid w:val="0DD073FE"/>
    <w:rsid w:val="0E5E691F"/>
    <w:rsid w:val="0FBE2B5A"/>
    <w:rsid w:val="10882729"/>
    <w:rsid w:val="121C431D"/>
    <w:rsid w:val="1283614B"/>
    <w:rsid w:val="12C80D4E"/>
    <w:rsid w:val="1357011A"/>
    <w:rsid w:val="135826CF"/>
    <w:rsid w:val="13EB21F9"/>
    <w:rsid w:val="14F11F32"/>
    <w:rsid w:val="163D6188"/>
    <w:rsid w:val="1680114A"/>
    <w:rsid w:val="16AA31C7"/>
    <w:rsid w:val="17DC3F56"/>
    <w:rsid w:val="189E2829"/>
    <w:rsid w:val="18A1732B"/>
    <w:rsid w:val="1BBC26CD"/>
    <w:rsid w:val="1C9571A6"/>
    <w:rsid w:val="1CC655B2"/>
    <w:rsid w:val="1D210A3A"/>
    <w:rsid w:val="1D5A219E"/>
    <w:rsid w:val="1DCA10D2"/>
    <w:rsid w:val="1DF84C53"/>
    <w:rsid w:val="1E9B123C"/>
    <w:rsid w:val="1EB9086A"/>
    <w:rsid w:val="1F127B38"/>
    <w:rsid w:val="1FBD7229"/>
    <w:rsid w:val="20054643"/>
    <w:rsid w:val="20E40E6B"/>
    <w:rsid w:val="210112AE"/>
    <w:rsid w:val="21BD7924"/>
    <w:rsid w:val="228F4698"/>
    <w:rsid w:val="24525164"/>
    <w:rsid w:val="24F208F2"/>
    <w:rsid w:val="25013C3C"/>
    <w:rsid w:val="25852064"/>
    <w:rsid w:val="26025181"/>
    <w:rsid w:val="261A1C24"/>
    <w:rsid w:val="26CD578F"/>
    <w:rsid w:val="26D1527F"/>
    <w:rsid w:val="271147EC"/>
    <w:rsid w:val="273677D8"/>
    <w:rsid w:val="27F51441"/>
    <w:rsid w:val="28C464D2"/>
    <w:rsid w:val="28CA6454"/>
    <w:rsid w:val="28E15521"/>
    <w:rsid w:val="29171044"/>
    <w:rsid w:val="29DB38C2"/>
    <w:rsid w:val="2AAA0380"/>
    <w:rsid w:val="2B18563D"/>
    <w:rsid w:val="2B577D1D"/>
    <w:rsid w:val="2E150147"/>
    <w:rsid w:val="2E352FAD"/>
    <w:rsid w:val="2E3C5442"/>
    <w:rsid w:val="317B29FB"/>
    <w:rsid w:val="32A658FC"/>
    <w:rsid w:val="32B21EC1"/>
    <w:rsid w:val="33F971D5"/>
    <w:rsid w:val="340547BA"/>
    <w:rsid w:val="36D52B1E"/>
    <w:rsid w:val="36FF28F0"/>
    <w:rsid w:val="37621F23"/>
    <w:rsid w:val="37F61032"/>
    <w:rsid w:val="37FC5413"/>
    <w:rsid w:val="397F6DBC"/>
    <w:rsid w:val="3B007A89"/>
    <w:rsid w:val="3BFF0D77"/>
    <w:rsid w:val="3BFF1077"/>
    <w:rsid w:val="3C597D99"/>
    <w:rsid w:val="3C601127"/>
    <w:rsid w:val="3DF8E156"/>
    <w:rsid w:val="410130EC"/>
    <w:rsid w:val="41283371"/>
    <w:rsid w:val="41654AEA"/>
    <w:rsid w:val="42230C40"/>
    <w:rsid w:val="44054362"/>
    <w:rsid w:val="44C45FCB"/>
    <w:rsid w:val="44C9144E"/>
    <w:rsid w:val="44F1310C"/>
    <w:rsid w:val="454668C9"/>
    <w:rsid w:val="456920D8"/>
    <w:rsid w:val="46584C1D"/>
    <w:rsid w:val="46774EA5"/>
    <w:rsid w:val="476D4020"/>
    <w:rsid w:val="496C7722"/>
    <w:rsid w:val="4A370FED"/>
    <w:rsid w:val="4AEB03D0"/>
    <w:rsid w:val="4C0F5D7E"/>
    <w:rsid w:val="4C150F48"/>
    <w:rsid w:val="4C7622A1"/>
    <w:rsid w:val="4FB70C06"/>
    <w:rsid w:val="50250E0D"/>
    <w:rsid w:val="50262AED"/>
    <w:rsid w:val="535D3873"/>
    <w:rsid w:val="53771905"/>
    <w:rsid w:val="53AB5652"/>
    <w:rsid w:val="55D43C95"/>
    <w:rsid w:val="55FA184D"/>
    <w:rsid w:val="56293EE0"/>
    <w:rsid w:val="59436B91"/>
    <w:rsid w:val="5A717902"/>
    <w:rsid w:val="5A843DDB"/>
    <w:rsid w:val="5AB81CD6"/>
    <w:rsid w:val="5ABB18FD"/>
    <w:rsid w:val="5BE865EB"/>
    <w:rsid w:val="5CA442C0"/>
    <w:rsid w:val="5CF3349A"/>
    <w:rsid w:val="5D1F18A8"/>
    <w:rsid w:val="5E16625C"/>
    <w:rsid w:val="5EBB0C4D"/>
    <w:rsid w:val="5FFCC868"/>
    <w:rsid w:val="604A794F"/>
    <w:rsid w:val="611737DA"/>
    <w:rsid w:val="63355154"/>
    <w:rsid w:val="640D3093"/>
    <w:rsid w:val="661E179C"/>
    <w:rsid w:val="663A29CD"/>
    <w:rsid w:val="668416DC"/>
    <w:rsid w:val="669E7FD2"/>
    <w:rsid w:val="67114EFB"/>
    <w:rsid w:val="674D37A6"/>
    <w:rsid w:val="67F93DB1"/>
    <w:rsid w:val="68046A6D"/>
    <w:rsid w:val="68DA219F"/>
    <w:rsid w:val="694E29D2"/>
    <w:rsid w:val="69853DEE"/>
    <w:rsid w:val="69DD8A81"/>
    <w:rsid w:val="6A2F784C"/>
    <w:rsid w:val="6ADE7537"/>
    <w:rsid w:val="6B372AEF"/>
    <w:rsid w:val="6B654C0B"/>
    <w:rsid w:val="6B985891"/>
    <w:rsid w:val="6BC24763"/>
    <w:rsid w:val="6BD2651E"/>
    <w:rsid w:val="6C8C6B1F"/>
    <w:rsid w:val="6C9D1974"/>
    <w:rsid w:val="6DE22E9A"/>
    <w:rsid w:val="70C8545B"/>
    <w:rsid w:val="70E42BEB"/>
    <w:rsid w:val="71417674"/>
    <w:rsid w:val="733F6231"/>
    <w:rsid w:val="73EA3C0A"/>
    <w:rsid w:val="7456013E"/>
    <w:rsid w:val="7501454E"/>
    <w:rsid w:val="756845CD"/>
    <w:rsid w:val="7601057E"/>
    <w:rsid w:val="76E25CB9"/>
    <w:rsid w:val="773E653F"/>
    <w:rsid w:val="77676CFD"/>
    <w:rsid w:val="777A362A"/>
    <w:rsid w:val="783C3AEF"/>
    <w:rsid w:val="78450BF6"/>
    <w:rsid w:val="784D3B7F"/>
    <w:rsid w:val="78961451"/>
    <w:rsid w:val="79B7925F"/>
    <w:rsid w:val="7AB44799"/>
    <w:rsid w:val="7B33620D"/>
    <w:rsid w:val="7B5602DE"/>
    <w:rsid w:val="7CDDAE05"/>
    <w:rsid w:val="7D67BF2C"/>
    <w:rsid w:val="7DEE3196"/>
    <w:rsid w:val="7FA248A8"/>
    <w:rsid w:val="8DDF8A2E"/>
    <w:rsid w:val="9C5F43B7"/>
    <w:rsid w:val="AEFF20D2"/>
    <w:rsid w:val="B3FF802A"/>
    <w:rsid w:val="BBFC6CF6"/>
    <w:rsid w:val="BBFF9068"/>
    <w:rsid w:val="BCAFDE76"/>
    <w:rsid w:val="D57B91E8"/>
    <w:rsid w:val="DF1DB25D"/>
    <w:rsid w:val="DF77FB1F"/>
    <w:rsid w:val="DF7E41F5"/>
    <w:rsid w:val="DFBF2FE0"/>
    <w:rsid w:val="ED775CFC"/>
    <w:rsid w:val="EFCFB54F"/>
    <w:rsid w:val="EFFFAC78"/>
    <w:rsid w:val="FF77F49E"/>
    <w:rsid w:val="FF7F8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常用样式（方正仿宋简）"/>
    <w:basedOn w:val="1"/>
    <w:qFormat/>
    <w:uiPriority w:val="0"/>
    <w:pPr>
      <w:spacing w:line="560" w:lineRule="exact"/>
      <w:ind w:firstLine="200" w:firstLineChars="200"/>
    </w:pPr>
    <w:rPr>
      <w:rFonts w:eastAsia="方正仿宋简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1110</Words>
  <Characters>1123</Characters>
  <Lines>0</Lines>
  <Paragraphs>0</Paragraphs>
  <TotalTime>2</TotalTime>
  <ScaleCrop>false</ScaleCrop>
  <LinksUpToDate>false</LinksUpToDate>
  <CharactersWithSpaces>1128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2025-08-28T08:58:00Z</dcterms:created>
  <dc:creator>不讨囍1416725596</dc:creator>
  <cp:lastModifiedBy>邓婷</cp:lastModifiedBy>
  <cp:lastPrinted>2025-12-29T01:10:00Z</cp:lastPrinted>
  <dcterms:modified xsi:type="dcterms:W3CDTF">2026-01-16T08:12:05Z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EB49B03F76574833BEF138E14F0B1244_13</vt:lpwstr>
  </property>
  <property fmtid="{D5CDD505-2E9C-101B-9397-08002B2CF9AE}" pid="4" name="KSOTemplateDocerSaveRecord">
    <vt:lpwstr>eyJoZGlkIjoiN2Y2YTkzM2Q3ZjFmZDA3MzYxZmZlNThiZjdiNmYxNGYiLCJ1c2VySWQiOiIxMDY5MjgzMDcxIn0=</vt:lpwstr>
  </property>
</Properties>
</file>