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eastAsia" w:ascii="Times New Roman" w:hAnsi="Times New Roman" w:eastAsia="方正小标宋简体" w:cs="Times New Roman"/>
          <w:bCs/>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r>
        <w:rPr>
          <w:rFonts w:hint="eastAsia" w:ascii="Times New Roman" w:hAnsi="Times New Roman" w:eastAsia="方正小标宋简体" w:cs="Times New Roman"/>
          <w:bCs/>
          <w:kern w:val="2"/>
          <w:sz w:val="44"/>
          <w:szCs w:val="44"/>
          <w:lang w:val="en-US" w:eastAsia="zh-CN" w:bidi="ar-SA"/>
        </w:rPr>
        <w:t>项目</w:t>
      </w:r>
      <w:r>
        <w:rPr>
          <w:rFonts w:hint="default" w:ascii="Times New Roman" w:hAnsi="Times New Roman" w:eastAsia="方正小标宋简体" w:cs="Times New Roman"/>
          <w:bCs/>
          <w:kern w:val="2"/>
          <w:sz w:val="44"/>
          <w:szCs w:val="44"/>
          <w:lang w:val="en-US" w:eastAsia="zh-CN" w:bidi="ar-SA"/>
        </w:rPr>
        <w:t>支出绩效自评</w:t>
      </w:r>
      <w:r>
        <w:rPr>
          <w:rFonts w:hint="eastAsia" w:ascii="Times New Roman" w:hAnsi="Times New Roman" w:eastAsia="方正小标宋简体" w:cs="Times New Roman"/>
          <w:bCs/>
          <w:kern w:val="2"/>
          <w:sz w:val="44"/>
          <w:szCs w:val="44"/>
          <w:lang w:val="en-US" w:eastAsia="zh-CN" w:bidi="ar-SA"/>
        </w:rPr>
        <w:t>汇总</w:t>
      </w:r>
      <w:r>
        <w:rPr>
          <w:rFonts w:hint="default" w:ascii="Times New Roman" w:hAnsi="Times New Roman" w:eastAsia="方正小标宋简体" w:cs="Times New Roman"/>
          <w:bCs/>
          <w:kern w:val="2"/>
          <w:sz w:val="44"/>
          <w:szCs w:val="44"/>
          <w:lang w:val="en-US" w:eastAsia="zh-CN" w:bidi="ar-SA"/>
        </w:rPr>
        <w:t>报告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r>
        <w:rPr>
          <w:rFonts w:hint="eastAsia" w:ascii="Times New Roman" w:hAnsi="Times New Roman" w:eastAsia="方正小标宋简体" w:cs="Times New Roman"/>
          <w:bCs/>
          <w:kern w:val="2"/>
          <w:sz w:val="44"/>
          <w:szCs w:val="44"/>
          <w:lang w:val="en-US" w:eastAsia="zh-CN" w:bidi="ar-SA"/>
        </w:rPr>
        <w:t>（</w:t>
      </w:r>
      <w:r>
        <w:rPr>
          <w:rFonts w:hint="default" w:ascii="Times New Roman" w:hAnsi="Times New Roman" w:eastAsia="方正小标宋简体" w:cs="Times New Roman"/>
          <w:bCs/>
          <w:kern w:val="2"/>
          <w:sz w:val="44"/>
          <w:szCs w:val="44"/>
          <w:lang w:val="en-US" w:eastAsia="zh-CN" w:bidi="ar-SA"/>
        </w:rPr>
        <w:t>202</w:t>
      </w:r>
      <w:r>
        <w:rPr>
          <w:rFonts w:hint="eastAsia" w:ascii="Times New Roman" w:hAnsi="Times New Roman" w:eastAsia="方正小标宋简体" w:cs="Times New Roman"/>
          <w:bCs/>
          <w:kern w:val="2"/>
          <w:sz w:val="44"/>
          <w:szCs w:val="44"/>
          <w:lang w:val="en-US" w:eastAsia="zh-CN" w:bidi="ar-SA"/>
        </w:rPr>
        <w:t>4</w:t>
      </w:r>
      <w:r>
        <w:rPr>
          <w:rFonts w:hint="default" w:ascii="Times New Roman" w:hAnsi="Times New Roman" w:eastAsia="方正小标宋简体" w:cs="Times New Roman"/>
          <w:bCs/>
          <w:kern w:val="2"/>
          <w:sz w:val="44"/>
          <w:szCs w:val="44"/>
          <w:lang w:val="en-US" w:eastAsia="zh-CN" w:bidi="ar-SA"/>
        </w:rPr>
        <w:t>年度</w:t>
      </w:r>
      <w:r>
        <w:rPr>
          <w:rFonts w:hint="eastAsia" w:ascii="Times New Roman" w:hAnsi="Times New Roman" w:eastAsia="方正小标宋简体" w:cs="Times New Roman"/>
          <w:bCs/>
          <w:kern w:val="2"/>
          <w:sz w:val="44"/>
          <w:szCs w:val="44"/>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contextualSpacing w:val="0"/>
        <w:jc w:val="center"/>
        <w:textAlignment w:val="auto"/>
        <w:rPr>
          <w:rFonts w:hint="default" w:ascii="Times New Roman" w:hAnsi="Times New Roman" w:eastAsia="方正小标宋简体" w:cs="Times New Roman"/>
          <w:bCs/>
          <w:kern w:val="2"/>
          <w:sz w:val="44"/>
          <w:szCs w:val="44"/>
          <w:lang w:val="en-US" w:eastAsia="zh-CN" w:bidi="ar-SA"/>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jc w:val="center"/>
        <w:rPr>
          <w:rFonts w:ascii="Times New Roman" w:hAnsi="Times New Roman" w:eastAsia="黑体"/>
          <w:sz w:val="32"/>
          <w:szCs w:val="32"/>
        </w:rPr>
      </w:pPr>
    </w:p>
    <w:p>
      <w:pPr>
        <w:rPr>
          <w:rFonts w:ascii="Times New Roman" w:hAnsi="Times New Roman" w:eastAsia="黑体"/>
          <w:sz w:val="32"/>
          <w:szCs w:val="32"/>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jc w:val="center"/>
        <w:rPr>
          <w:rFonts w:ascii="Times New Roman" w:hAnsi="Times New Roman"/>
          <w:sz w:val="36"/>
          <w:szCs w:val="36"/>
        </w:rPr>
      </w:pPr>
    </w:p>
    <w:p>
      <w:pPr>
        <w:rPr>
          <w:rFonts w:ascii="Times New Roman" w:hAnsi="Times New Roman"/>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3200" w:firstLineChars="1000"/>
        <w:contextualSpacing w:val="0"/>
        <w:jc w:val="both"/>
        <w:textAlignment w:val="auto"/>
        <w:rPr>
          <w:rFonts w:hint="default" w:ascii="Times New Roman" w:hAnsi="Times New Roman" w:eastAsia="仿宋_GB2312" w:cs="Times New Roman"/>
          <w:bCs w:val="0"/>
          <w:kern w:val="0"/>
          <w:sz w:val="32"/>
          <w:szCs w:val="32"/>
          <w:lang w:val="en-US" w:eastAsia="zh-CN" w:bidi="ar-SA"/>
        </w:rPr>
      </w:pPr>
      <w:r>
        <w:rPr>
          <w:rFonts w:hint="default" w:ascii="Times New Roman" w:hAnsi="Times New Roman" w:eastAsia="仿宋_GB2312" w:cs="Times New Roman"/>
          <w:bCs w:val="0"/>
          <w:kern w:val="0"/>
          <w:sz w:val="32"/>
          <w:szCs w:val="32"/>
          <w:lang w:val="en-US" w:eastAsia="zh-CN" w:bidi="ar-SA"/>
        </w:rPr>
        <w:t>单位名称</w:t>
      </w:r>
      <w:r>
        <w:rPr>
          <w:rFonts w:hint="eastAsia" w:ascii="Times New Roman" w:hAnsi="Times New Roman" w:eastAsia="仿宋_GB2312" w:cs="Times New Roman"/>
          <w:bCs w:val="0"/>
          <w:kern w:val="0"/>
          <w:sz w:val="32"/>
          <w:szCs w:val="32"/>
          <w:lang w:val="en-US" w:eastAsia="zh-CN" w:bidi="ar-SA"/>
        </w:rPr>
        <w:t>（公章）</w:t>
      </w:r>
      <w:r>
        <w:rPr>
          <w:rFonts w:hint="default" w:ascii="Times New Roman" w:hAnsi="Times New Roman" w:eastAsia="仿宋_GB2312" w:cs="Times New Roman"/>
          <w:bCs w:val="0"/>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contextualSpacing w:val="0"/>
        <w:jc w:val="center"/>
        <w:textAlignment w:val="auto"/>
        <w:rPr>
          <w:rFonts w:hint="default" w:ascii="Times New Roman" w:hAnsi="Times New Roman" w:eastAsia="仿宋_GB2312" w:cs="Times New Roman"/>
          <w:bCs w:val="0"/>
          <w:kern w:val="0"/>
          <w:sz w:val="32"/>
          <w:szCs w:val="32"/>
          <w:lang w:val="en-US" w:eastAsia="zh-CN" w:bidi="ar-SA"/>
        </w:rPr>
      </w:pPr>
      <w:r>
        <w:rPr>
          <w:rFonts w:hint="eastAsia" w:ascii="Times New Roman" w:hAnsi="Times New Roman" w:eastAsia="仿宋_GB2312" w:cs="Times New Roman"/>
          <w:bCs w:val="0"/>
          <w:kern w:val="0"/>
          <w:sz w:val="32"/>
          <w:szCs w:val="32"/>
          <w:lang w:val="en-US" w:eastAsia="zh-CN" w:bidi="ar-SA"/>
        </w:rPr>
        <w:t>主要负责人签字</w:t>
      </w:r>
      <w:r>
        <w:rPr>
          <w:rFonts w:hint="default" w:ascii="Times New Roman" w:hAnsi="Times New Roman" w:eastAsia="仿宋_GB2312" w:cs="Times New Roman"/>
          <w:bCs w:val="0"/>
          <w:kern w:val="0"/>
          <w:sz w:val="32"/>
          <w:szCs w:val="32"/>
          <w:lang w:val="en-US" w:eastAsia="zh-CN" w:bidi="ar-SA"/>
        </w:rPr>
        <w:t>：</w:t>
      </w:r>
    </w:p>
    <w:p>
      <w:pPr>
        <w:jc w:val="center"/>
        <w:rPr>
          <w:rFonts w:ascii="Times New Roman" w:hAnsi="Times New Roman" w:eastAsia="黑体"/>
          <w:sz w:val="36"/>
          <w:szCs w:val="36"/>
        </w:rPr>
      </w:pPr>
    </w:p>
    <w:p>
      <w:pPr>
        <w:jc w:val="center"/>
        <w:rPr>
          <w:rFonts w:ascii="Times New Roman" w:hAnsi="Times New Roman" w:eastAsia="黑体"/>
          <w:sz w:val="32"/>
          <w:szCs w:val="32"/>
        </w:rPr>
      </w:pPr>
    </w:p>
    <w:p>
      <w:pPr>
        <w:spacing w:line="600" w:lineRule="exact"/>
        <w:jc w:val="center"/>
        <w:rPr>
          <w:rFonts w:ascii="Times New Roman" w:hAnsi="Times New Roman" w:eastAsia="方正小标宋_GBK"/>
          <w:sz w:val="36"/>
          <w:szCs w:val="36"/>
        </w:rPr>
      </w:pP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项目支出绩效自评汇总报告</w:t>
      </w:r>
    </w:p>
    <w:p>
      <w:pPr>
        <w:spacing w:line="60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一、项目支出基本情况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（一）项目支出概况</w:t>
      </w:r>
    </w:p>
    <w:p>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年度，我单位项目支出合计</w:t>
      </w:r>
      <w:r>
        <w:rPr>
          <w:rFonts w:hint="eastAsia" w:ascii="Times New Roman" w:hAnsi="Times New Roman" w:eastAsia="仿宋_GB2312" w:cs="Times New Roman"/>
          <w:sz w:val="32"/>
          <w:szCs w:val="32"/>
          <w:highlight w:val="none"/>
          <w:lang w:val="en-US" w:eastAsia="zh-CN"/>
        </w:rPr>
        <w:t>45.23万元。其中，企业离退休人员资格认证工作经费17.26万元，外资和私营企业扩面征缴工作经费27.96万元。外资和私营企业扩面征缴工作经费主要用于完成市本级征缴扩面工作，增加养老保险基金收入。企业离退休人员资格认证工作经费主要用于保证企业离退休人员认证工作有效完成。</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（二）项目资金使用管理情况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我单位项目支出由各相关业务科室根据本年度工作安排对应各项目工作进行支出。财务科对本年度各项目完成进度和支出手续进行把关，确保所有项目资金全部用于对应项目中。</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（三）项目支出绩效目标完成程度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我单位所有项目均在本年度完成。</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我单位绩效自评工作由各项目负责科室进行自评，财务科统一汇总</w:t>
      </w:r>
      <w:r>
        <w:rPr>
          <w:rFonts w:hint="eastAsia"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三、项目支出主要绩效及评价结论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Style w:val="4"/>
          <w:rFonts w:hint="default" w:ascii="Times New Roman" w:hAnsi="Times New Roman" w:eastAsia="方正仿宋_GB2312" w:cs="Times New Roman"/>
        </w:rPr>
      </w:pPr>
      <w:r>
        <w:rPr>
          <w:rFonts w:hint="eastAsia" w:ascii="Times New Roman" w:hAnsi="Times New Roman" w:eastAsia="仿宋_GB2312" w:cs="Times New Roman"/>
          <w:sz w:val="32"/>
          <w:szCs w:val="32"/>
          <w:highlight w:val="none"/>
          <w:lang w:val="en-US" w:eastAsia="zh-CN"/>
        </w:rPr>
        <w:t>外资和私营企业扩面征缴工作</w:t>
      </w:r>
      <w:r>
        <w:rPr>
          <w:rStyle w:val="4"/>
          <w:rFonts w:hint="eastAsia" w:ascii="楷体" w:hAnsi="楷体" w:eastAsia="楷体" w:cs="楷体"/>
        </w:rPr>
        <w:t>精准扩面有质效。</w:t>
      </w:r>
      <w:r>
        <w:rPr>
          <w:rStyle w:val="4"/>
          <w:rFonts w:hint="default" w:ascii="Times New Roman" w:hAnsi="Times New Roman" w:eastAsia="方正仿宋_GB2312" w:cs="Times New Roman"/>
        </w:rPr>
        <w:t>协同税务部门建立联动机制和社会保险费征缴争议处理机制，创新谋划七大扩面行动，开创“三”四同频促扩面新格局，紧盯重点行业群体，以牵引式、靶向式、拉网式政策宣导拉动扩面。与公交公司合作共建社保政策专线，结合语音报站、车载视频宣传社保政策；依托衡阳交通广播打造优质社保“声音”，推出社保政策空中宣传解读；联合邮政部门探索“社邮+”服务新模式，设立灵活就业参保流动宣传岗，开展“社邮合作进社区，共建温暖伴您行”宣传活动；充分发挥行业组织协同扩面作用，与衡阳市物业管理协会、餐饮行业协会等6家行业组织签署“绘就民生温暖底色，护航社保高质量扩面”温暖社保协作伙伴共建协议，市道路货物运输行业协会实现1658名会员参保，参保率达81%。截至12月底，衡阳市企业职工养老保险在职参保共计81.5万人，完成年任务101.74%。</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Style w:val="4"/>
          <w:rFonts w:hint="default" w:ascii="Times New Roman" w:hAnsi="Times New Roman" w:eastAsia="方正仿宋_GB2312" w:cs="Times New Roman"/>
        </w:rPr>
      </w:pPr>
      <w:r>
        <w:rPr>
          <w:rFonts w:hint="eastAsia" w:ascii="Times New Roman" w:hAnsi="Times New Roman" w:eastAsia="仿宋_GB2312" w:cs="Times New Roman"/>
          <w:sz w:val="32"/>
          <w:szCs w:val="32"/>
          <w:highlight w:val="none"/>
          <w:lang w:val="en-US" w:eastAsia="zh-CN"/>
        </w:rPr>
        <w:t>企业离退休人员资格认证工作实现</w:t>
      </w:r>
      <w:r>
        <w:rPr>
          <w:rStyle w:val="4"/>
          <w:rFonts w:hint="eastAsia" w:ascii="楷体" w:hAnsi="楷体" w:eastAsia="楷体" w:cs="楷体"/>
          <w:lang w:val="en-US" w:eastAsia="zh-CN"/>
        </w:rPr>
        <w:t>生存认证全覆盖。</w:t>
      </w:r>
      <w:r>
        <w:rPr>
          <w:rStyle w:val="4"/>
          <w:rFonts w:hint="default" w:ascii="Times New Roman" w:hAnsi="Times New Roman" w:eastAsia="方正仿宋_GB2312" w:cs="Times New Roman"/>
        </w:rPr>
        <w:t>线上线下同步发力，引导企业和群众通过登录国家社会保险公共服务平台、掌上12333APP、“智慧人社”APP等实现自助认证。截至12月底，完成了市本级1.65万机关事保退休人员和14.44万企业退休人员待遇领取资格认证工作，并为1198位瘫痪、精神病等行动不便的退休人员和超过18个月未认证的退休人员进行了线下人工认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rPr>
        <w:t>我单位所有项目都于本年度内完成，部分项目超计划量完成，社会效益较好，服务对象满意度高。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（一）项目支出决策情况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我单位各项目由各业务科室根据本年度实际工作业务量对项目预算进行申报，由财政最终核定</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（二）项目执行过程情况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我单位对各项目进行了项目监控，对各项目完成时间和完成量进行了全程的监督，确保项目按时按量执行到位</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（三）项目支出产出情况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我单位所有项目产出均达到或超过目标值</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rPr>
        <w:t>（四）项目支出效益情况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我单位所有项目支出效益均较好实现。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五、下一步改进措施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一是进一步规范绩效目标编制。在编制项目资金绩效目标时，要求指向明确，细化量化、合理可行、相应匹配。确保绩效目标编报的整体质量，增强绩效目标设立的科学性。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二是加快预算执行力度，强化预算约束。增强预算的刚性约束，严格做到“无预算不支出”，强化预算对项目执行的控制。财务部门加强对各项支出的审核管理。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三是进一步落实《衡阳市财政局固定资产管理办法》，并完善我局现有的固定资产管理制度，加强内控管理</w:t>
      </w:r>
      <w:r>
        <w:rPr>
          <w:rFonts w:hint="default" w:ascii="Times New Roman" w:hAnsi="Times New Roman" w:eastAsia="仿宋_GB2312"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4ZDNmOGE3YjJhYmI4ODU0NGUwYTEyNDdhMzc3ZTMifQ=="/>
  </w:docVars>
  <w:rsids>
    <w:rsidRoot w:val="30E95B53"/>
    <w:rsid w:val="1A8E3798"/>
    <w:rsid w:val="1ACD216D"/>
    <w:rsid w:val="228E2BA5"/>
    <w:rsid w:val="2470532C"/>
    <w:rsid w:val="30175EEB"/>
    <w:rsid w:val="30E95B53"/>
    <w:rsid w:val="352820E9"/>
    <w:rsid w:val="42323228"/>
    <w:rsid w:val="7E5BE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61"/>
    <w:basedOn w:val="3"/>
    <w:qFormat/>
    <w:uiPriority w:val="0"/>
    <w:rPr>
      <w:rFonts w:hint="eastAsia" w:ascii="Times New Roman" w:eastAsia="楷体_GB2312" w:cs="楷体_GB231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65</Words>
  <Characters>68</Characters>
  <Lines>0</Lines>
  <Paragraphs>0</Paragraphs>
  <TotalTime>1</TotalTime>
  <ScaleCrop>false</ScaleCrop>
  <LinksUpToDate>false</LinksUpToDate>
  <CharactersWithSpaces>68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2024-04-07T08:38:00Z</dcterms:created>
  <dc:creator>Administrator</dc:creator>
  <cp:lastModifiedBy>kylin</cp:lastModifiedBy>
  <dcterms:modified xsi:type="dcterms:W3CDTF">2025-09-29T10:38:46Z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E633C9A3688949F3A64E61A61FE16F91_13</vt:lpwstr>
  </property>
</Properties>
</file>