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08229">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cs="Times New Roman"/>
          <w:sz w:val="44"/>
          <w:szCs w:val="44"/>
        </w:rPr>
        <w:t>衡阳市</w:t>
      </w:r>
      <w:r>
        <w:rPr>
          <w:rFonts w:hint="eastAsia" w:ascii="Times New Roman" w:hAnsi="Times New Roman" w:eastAsia="方正小标宋简体" w:cs="Times New Roman"/>
          <w:sz w:val="44"/>
          <w:szCs w:val="44"/>
          <w:lang w:eastAsia="zh-CN"/>
        </w:rPr>
        <w:t>水政监察支队</w:t>
      </w:r>
      <w:r>
        <w:rPr>
          <w:rFonts w:hint="eastAsia" w:ascii="Times New Roman" w:hAnsi="Times New Roman" w:eastAsia="方正小标宋简体" w:cs="Times New Roman"/>
          <w:sz w:val="44"/>
          <w:szCs w:val="44"/>
          <w:lang w:val="en-US" w:eastAsia="zh-CN"/>
        </w:rPr>
        <w:t>2023年</w:t>
      </w:r>
      <w:r>
        <w:rPr>
          <w:rFonts w:ascii="Times New Roman" w:hAnsi="Times New Roman" w:eastAsia="方正小标宋简体"/>
          <w:sz w:val="44"/>
          <w:szCs w:val="44"/>
        </w:rPr>
        <w:t>部门整体支出绩效自评报告</w:t>
      </w:r>
    </w:p>
    <w:p w14:paraId="5187316F">
      <w:pPr>
        <w:pStyle w:val="2"/>
      </w:pPr>
    </w:p>
    <w:p w14:paraId="1EB60CBD">
      <w:pPr>
        <w:ind w:firstLine="640" w:firstLineChars="200"/>
        <w:rPr>
          <w:rFonts w:ascii="Times New Roman" w:hAnsi="Times New Roman" w:eastAsia="方正小标宋_GBK"/>
          <w:sz w:val="32"/>
          <w:szCs w:val="32"/>
        </w:rPr>
      </w:pPr>
      <w:r>
        <w:rPr>
          <w:rFonts w:ascii="Times New Roman" w:hAnsi="Times New Roman" w:eastAsia="仿宋_GB2312"/>
          <w:kern w:val="0"/>
          <w:sz w:val="32"/>
          <w:szCs w:val="32"/>
        </w:rPr>
        <w:t>为进一步规范财政资金管理，强化财政支出绩效理念和责任意识，切实提高财政资源配置效率和使用效益，</w:t>
      </w:r>
      <w:r>
        <w:rPr>
          <w:rFonts w:ascii="Times New Roman" w:hAnsi="Times New Roman" w:eastAsia="仿宋_GB2312"/>
          <w:sz w:val="32"/>
          <w:szCs w:val="32"/>
        </w:rPr>
        <w:t>根据</w:t>
      </w:r>
      <w:r>
        <w:rPr>
          <w:rFonts w:hint="eastAsia" w:ascii="Times New Roman" w:hAnsi="Times New Roman" w:eastAsia="仿宋_GB2312"/>
          <w:sz w:val="32"/>
          <w:szCs w:val="32"/>
        </w:rPr>
        <w:t>省委省政府</w:t>
      </w:r>
      <w:r>
        <w:rPr>
          <w:rFonts w:ascii="Times New Roman" w:hAnsi="Times New Roman" w:eastAsia="仿宋_GB2312"/>
          <w:sz w:val="32"/>
          <w:szCs w:val="32"/>
        </w:rPr>
        <w:t>《关于全面实施预算绩效管理的实施意见》（湘办发〔2019〕10号）和《衡阳市预算绩效管理实施办法》(衡办发〔2021〕13号)精神，</w:t>
      </w:r>
      <w:r>
        <w:rPr>
          <w:rFonts w:hint="eastAsia" w:ascii="仿宋" w:hAnsi="仿宋" w:eastAsia="仿宋" w:cs="仿宋"/>
          <w:b w:val="0"/>
          <w:bCs w:val="0"/>
          <w:color w:val="010101"/>
          <w:kern w:val="0"/>
          <w:sz w:val="30"/>
          <w:szCs w:val="30"/>
          <w:lang w:val="en-US" w:eastAsia="zh-CN"/>
        </w:rPr>
        <w:t>等</w:t>
      </w:r>
      <w:r>
        <w:rPr>
          <w:rFonts w:hint="eastAsia" w:ascii="仿宋" w:hAnsi="仿宋" w:eastAsia="仿宋" w:cs="仿宋"/>
          <w:b w:val="0"/>
          <w:bCs w:val="0"/>
          <w:color w:val="010101"/>
          <w:kern w:val="0"/>
          <w:sz w:val="30"/>
          <w:szCs w:val="30"/>
        </w:rPr>
        <w:t>绩效评价文件相关要求，我</w:t>
      </w:r>
      <w:r>
        <w:rPr>
          <w:rFonts w:hint="eastAsia" w:ascii="仿宋" w:hAnsi="仿宋" w:eastAsia="仿宋" w:cs="仿宋"/>
          <w:b w:val="0"/>
          <w:bCs w:val="0"/>
          <w:color w:val="010101"/>
          <w:kern w:val="0"/>
          <w:sz w:val="30"/>
          <w:szCs w:val="30"/>
          <w:lang w:eastAsia="zh-CN"/>
        </w:rPr>
        <w:t>支队</w:t>
      </w:r>
      <w:r>
        <w:rPr>
          <w:rFonts w:hint="eastAsia" w:ascii="仿宋" w:hAnsi="仿宋" w:eastAsia="仿宋" w:cs="仿宋"/>
          <w:b w:val="0"/>
          <w:bCs w:val="0"/>
          <w:color w:val="010101"/>
          <w:kern w:val="0"/>
          <w:sz w:val="30"/>
          <w:szCs w:val="30"/>
        </w:rPr>
        <w:t>对20</w:t>
      </w:r>
      <w:r>
        <w:rPr>
          <w:rFonts w:hint="eastAsia" w:ascii="仿宋" w:hAnsi="仿宋" w:eastAsia="仿宋" w:cs="仿宋"/>
          <w:b w:val="0"/>
          <w:bCs w:val="0"/>
          <w:color w:val="010101"/>
          <w:kern w:val="0"/>
          <w:sz w:val="30"/>
          <w:szCs w:val="30"/>
          <w:lang w:val="en-US" w:eastAsia="zh-CN"/>
        </w:rPr>
        <w:t>23</w:t>
      </w:r>
      <w:r>
        <w:rPr>
          <w:rFonts w:hint="eastAsia" w:ascii="仿宋" w:hAnsi="仿宋" w:eastAsia="仿宋" w:cs="仿宋"/>
          <w:b w:val="0"/>
          <w:bCs w:val="0"/>
          <w:color w:val="010101"/>
          <w:kern w:val="0"/>
          <w:sz w:val="30"/>
          <w:szCs w:val="30"/>
        </w:rPr>
        <w:t>年度部门整体支出绩效进行了全面综合评价, 我</w:t>
      </w:r>
      <w:r>
        <w:rPr>
          <w:rFonts w:hint="eastAsia" w:ascii="仿宋" w:hAnsi="仿宋" w:eastAsia="仿宋" w:cs="仿宋"/>
          <w:b w:val="0"/>
          <w:bCs w:val="0"/>
          <w:color w:val="010101"/>
          <w:kern w:val="0"/>
          <w:sz w:val="30"/>
          <w:szCs w:val="30"/>
          <w:lang w:eastAsia="zh-CN"/>
        </w:rPr>
        <w:t>支队</w:t>
      </w:r>
      <w:r>
        <w:rPr>
          <w:rFonts w:hint="eastAsia" w:ascii="仿宋" w:hAnsi="仿宋" w:eastAsia="仿宋" w:cs="仿宋"/>
          <w:b w:val="0"/>
          <w:bCs w:val="0"/>
          <w:sz w:val="30"/>
          <w:szCs w:val="30"/>
        </w:rPr>
        <w:t>按照独立、公正、客观、科学的原则，根据项目的实际情况，实施了项目资料审阅、财务凭据核对、分析计算等必要的评价程序，现将有关情况报告如下：</w:t>
      </w:r>
    </w:p>
    <w:p w14:paraId="5B9E3AA7">
      <w:pPr>
        <w:pStyle w:val="5"/>
        <w:widowControl/>
        <w:numPr>
          <w:ilvl w:val="0"/>
          <w:numId w:val="1"/>
        </w:numPr>
        <w:ind w:firstLine="640"/>
        <w:rPr>
          <w:rFonts w:eastAsia="黑体"/>
          <w:sz w:val="32"/>
          <w:szCs w:val="32"/>
        </w:rPr>
      </w:pPr>
      <w:r>
        <w:rPr>
          <w:rFonts w:eastAsia="黑体"/>
          <w:sz w:val="32"/>
          <w:szCs w:val="32"/>
        </w:rPr>
        <w:t>部门、单位基本情况</w:t>
      </w:r>
    </w:p>
    <w:p w14:paraId="03A229C5">
      <w:pPr>
        <w:spacing w:line="360" w:lineRule="auto"/>
        <w:ind w:firstLine="602" w:firstLineChars="200"/>
        <w:jc w:val="left"/>
        <w:rPr>
          <w:rFonts w:hint="eastAsia" w:ascii="仿宋" w:hAnsi="仿宋" w:eastAsia="仿宋" w:cs="仿宋"/>
          <w:b/>
          <w:bCs/>
          <w:color w:val="010101"/>
          <w:kern w:val="0"/>
          <w:sz w:val="30"/>
          <w:szCs w:val="30"/>
        </w:rPr>
      </w:pPr>
      <w:r>
        <w:rPr>
          <w:rFonts w:hint="eastAsia" w:ascii="仿宋" w:hAnsi="仿宋" w:eastAsia="仿宋" w:cs="仿宋"/>
          <w:b/>
          <w:bCs/>
          <w:color w:val="010101"/>
          <w:kern w:val="0"/>
          <w:sz w:val="30"/>
          <w:szCs w:val="30"/>
        </w:rPr>
        <w:t>（一）部门职责</w:t>
      </w:r>
    </w:p>
    <w:p w14:paraId="6D995C4A">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rPr>
        <w:t>1、宣传贯彻《中华人民共和国水法》、《中华人民共和国水土</w:t>
      </w:r>
      <w:r>
        <w:rPr>
          <w:rFonts w:hint="eastAsia" w:ascii="仿宋" w:hAnsi="仿宋" w:eastAsia="仿宋" w:cs="仿宋"/>
          <w:b w:val="0"/>
          <w:bCs w:val="0"/>
          <w:sz w:val="30"/>
          <w:szCs w:val="30"/>
          <w:lang w:eastAsia="zh-CN"/>
        </w:rPr>
        <w:t>保持</w:t>
      </w:r>
      <w:r>
        <w:rPr>
          <w:rFonts w:hint="eastAsia" w:ascii="仿宋" w:hAnsi="仿宋" w:eastAsia="仿宋" w:cs="仿宋"/>
          <w:b w:val="0"/>
          <w:bCs w:val="0"/>
          <w:sz w:val="30"/>
          <w:szCs w:val="30"/>
        </w:rPr>
        <w:t>法》、《中华人民共和国防洪法》等涉水法律、法规。</w:t>
      </w:r>
    </w:p>
    <w:p w14:paraId="03C67336">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、负责全市河道、水资源、水土保持、堤防保护的水行政执法工作;负责取水、节水、水文和防汛抗旱等有关设施及挡水建筑物的保护工作。</w:t>
      </w:r>
    </w:p>
    <w:p w14:paraId="26E2A890">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、负责依法查处水事违法行为;负责对水事活动进行监督检查,维护正常的水事秩序;负责对公民、法人或其他组织违反涉水行政法规的行为,实施行政处罚或者采取其他行政措施。</w:t>
      </w:r>
    </w:p>
    <w:p w14:paraId="6EEBB354">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、负责维护城区范围内河道采砂秩序;负责依法查处城区范围内非法采砂、非法卸砂行为;负责指导、协调城区水利部门打击非法采砂工作。</w:t>
      </w:r>
    </w:p>
    <w:p w14:paraId="18156776">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、负责指导全市水政监察工作;负责全市水政监察队伍的业务培训工作。</w:t>
      </w:r>
    </w:p>
    <w:p w14:paraId="5BF0DD9C">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、配合和协助公安和司法机关查处水事治安和刑事案件。</w:t>
      </w:r>
    </w:p>
    <w:p w14:paraId="3A4A140A">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7</w:t>
      </w:r>
      <w:r>
        <w:rPr>
          <w:rFonts w:hint="eastAsia" w:ascii="仿宋" w:hAnsi="仿宋" w:eastAsia="仿宋" w:cs="仿宋"/>
          <w:b w:val="0"/>
          <w:bCs w:val="0"/>
          <w:sz w:val="30"/>
          <w:szCs w:val="30"/>
        </w:rPr>
        <w:t>、承办市水利局交办的其他工作。</w:t>
      </w:r>
    </w:p>
    <w:p w14:paraId="5A9E7D9F">
      <w:pPr>
        <w:spacing w:line="360" w:lineRule="auto"/>
        <w:ind w:firstLine="522" w:firstLineChars="200"/>
        <w:rPr>
          <w:rFonts w:hint="eastAsia" w:ascii="仿宋" w:hAnsi="仿宋" w:eastAsia="仿宋" w:cs="仿宋"/>
          <w:b w:val="0"/>
          <w:bCs w:val="0"/>
          <w:spacing w:val="-20"/>
          <w:position w:val="6"/>
          <w:sz w:val="30"/>
          <w:szCs w:val="30"/>
        </w:rPr>
      </w:pPr>
      <w:r>
        <w:rPr>
          <w:rFonts w:hint="eastAsia" w:ascii="仿宋" w:hAnsi="仿宋" w:eastAsia="仿宋" w:cs="仿宋"/>
          <w:b/>
          <w:bCs/>
          <w:spacing w:val="-20"/>
          <w:position w:val="6"/>
          <w:sz w:val="30"/>
          <w:szCs w:val="30"/>
        </w:rPr>
        <w:t>（二）机构设置情况</w:t>
      </w:r>
    </w:p>
    <w:p w14:paraId="0E2038AF">
      <w:pPr>
        <w:spacing w:line="360" w:lineRule="auto"/>
        <w:ind w:firstLine="708" w:firstLineChars="236"/>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衡阳市水政监察支队属公益一类事业单位，事业编制31人，级别为</w:t>
      </w:r>
      <w:r>
        <w:rPr>
          <w:rFonts w:hint="eastAsia" w:ascii="仿宋" w:hAnsi="仿宋" w:eastAsia="仿宋" w:cs="仿宋"/>
          <w:b w:val="0"/>
          <w:bCs w:val="0"/>
          <w:sz w:val="30"/>
          <w:szCs w:val="30"/>
          <w:lang w:val="en-US" w:eastAsia="zh-CN"/>
        </w:rPr>
        <w:t>正</w:t>
      </w:r>
      <w:r>
        <w:rPr>
          <w:rFonts w:hint="eastAsia" w:ascii="仿宋" w:hAnsi="仿宋" w:eastAsia="仿宋" w:cs="仿宋"/>
          <w:b w:val="0"/>
          <w:bCs w:val="0"/>
          <w:sz w:val="30"/>
          <w:szCs w:val="30"/>
        </w:rPr>
        <w:t>科级，财务为二级预算单位。内设机构包括：办公室、党群室、人财室、行政执法大队、政策法规安监室、监督管理室。</w:t>
      </w:r>
    </w:p>
    <w:p w14:paraId="2EB60E2D">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（三）人员编制情况</w:t>
      </w:r>
    </w:p>
    <w:p w14:paraId="3327FAD5">
      <w:pPr>
        <w:spacing w:line="360" w:lineRule="auto"/>
        <w:ind w:firstLine="708" w:firstLineChars="236"/>
        <w:rPr>
          <w:rFonts w:eastAsia="黑体"/>
          <w:sz w:val="32"/>
          <w:szCs w:val="32"/>
        </w:rPr>
      </w:pPr>
      <w:r>
        <w:rPr>
          <w:rFonts w:hint="eastAsia" w:ascii="仿宋" w:hAnsi="仿宋" w:eastAsia="仿宋" w:cs="仿宋"/>
          <w:b w:val="0"/>
          <w:bCs w:val="0"/>
          <w:sz w:val="30"/>
          <w:szCs w:val="30"/>
        </w:rPr>
        <w:t>2023 年年末单位在职职工24人，退休人员8人。</w:t>
      </w:r>
      <w:bookmarkStart w:id="0" w:name="_GoBack"/>
      <w:bookmarkEnd w:id="0"/>
    </w:p>
    <w:p w14:paraId="489BF8D9">
      <w:pPr>
        <w:pStyle w:val="5"/>
        <w:widowControl/>
        <w:ind w:firstLine="640"/>
        <w:rPr>
          <w:rFonts w:eastAsia="黑体"/>
          <w:sz w:val="32"/>
          <w:szCs w:val="32"/>
        </w:rPr>
      </w:pPr>
      <w:r>
        <w:rPr>
          <w:rFonts w:eastAsia="黑体"/>
          <w:sz w:val="32"/>
          <w:szCs w:val="32"/>
        </w:rPr>
        <w:t>二、一般公共预算支出情况</w:t>
      </w:r>
    </w:p>
    <w:p w14:paraId="1FF064B2">
      <w:pPr>
        <w:pStyle w:val="5"/>
        <w:widowControl/>
        <w:ind w:firstLine="643"/>
        <w:rPr>
          <w:rFonts w:eastAsia="楷体"/>
          <w:b/>
          <w:sz w:val="32"/>
          <w:szCs w:val="32"/>
        </w:rPr>
      </w:pPr>
      <w:r>
        <w:rPr>
          <w:rFonts w:eastAsia="楷体"/>
          <w:b/>
          <w:sz w:val="32"/>
          <w:szCs w:val="32"/>
        </w:rPr>
        <w:t>（一）基本支出情况</w:t>
      </w:r>
    </w:p>
    <w:p w14:paraId="3D34F0C1">
      <w:pPr>
        <w:spacing w:before="104" w:line="360" w:lineRule="auto"/>
        <w:ind w:right="87" w:firstLine="628"/>
        <w:rPr>
          <w:rFonts w:ascii="仿宋" w:hAnsi="仿宋" w:eastAsia="仿宋" w:cs="仿宋"/>
          <w:sz w:val="32"/>
          <w:szCs w:val="32"/>
        </w:rPr>
      </w:pPr>
      <w:r>
        <w:rPr>
          <w:rFonts w:ascii="仿宋" w:hAnsi="仿宋" w:eastAsia="仿宋" w:cs="仿宋"/>
          <w:spacing w:val="-2"/>
          <w:sz w:val="32"/>
          <w:szCs w:val="32"/>
        </w:rPr>
        <w:t>2023 年本单位基本支出</w:t>
      </w:r>
      <w:r>
        <w:rPr>
          <w:rFonts w:hint="eastAsia" w:ascii="仿宋" w:hAnsi="仿宋" w:eastAsia="仿宋" w:cs="仿宋"/>
          <w:spacing w:val="-2"/>
          <w:sz w:val="32"/>
          <w:szCs w:val="32"/>
          <w:lang w:val="en-US" w:eastAsia="zh-CN"/>
        </w:rPr>
        <w:t>482.80</w:t>
      </w:r>
      <w:r>
        <w:rPr>
          <w:rFonts w:ascii="仿宋" w:hAnsi="仿宋" w:eastAsia="仿宋" w:cs="仿宋"/>
          <w:spacing w:val="-2"/>
          <w:sz w:val="32"/>
          <w:szCs w:val="32"/>
        </w:rPr>
        <w:t>万</w:t>
      </w:r>
      <w:r>
        <w:rPr>
          <w:rFonts w:ascii="仿宋" w:hAnsi="仿宋" w:eastAsia="仿宋" w:cs="仿宋"/>
          <w:spacing w:val="3"/>
          <w:sz w:val="32"/>
          <w:szCs w:val="32"/>
        </w:rPr>
        <w:t>元，主要是为保障部门正常运转、完成日常工作任务而发生</w:t>
      </w:r>
      <w:r>
        <w:rPr>
          <w:rFonts w:ascii="仿宋" w:hAnsi="仿宋" w:eastAsia="仿宋" w:cs="仿宋"/>
          <w:spacing w:val="2"/>
          <w:sz w:val="32"/>
          <w:szCs w:val="32"/>
        </w:rPr>
        <w:t>的</w:t>
      </w:r>
      <w:r>
        <w:rPr>
          <w:rFonts w:ascii="仿宋" w:hAnsi="仿宋" w:eastAsia="仿宋" w:cs="仿宋"/>
          <w:spacing w:val="3"/>
          <w:sz w:val="32"/>
          <w:szCs w:val="32"/>
        </w:rPr>
        <w:t>各项支出，包括用于基本工资、津贴补贴等人员经费以及办</w:t>
      </w:r>
      <w:r>
        <w:rPr>
          <w:rFonts w:ascii="仿宋" w:hAnsi="仿宋" w:eastAsia="仿宋" w:cs="仿宋"/>
          <w:spacing w:val="2"/>
          <w:sz w:val="32"/>
          <w:szCs w:val="32"/>
        </w:rPr>
        <w:t>公</w:t>
      </w:r>
      <w:r>
        <w:rPr>
          <w:rFonts w:ascii="仿宋" w:hAnsi="仿宋" w:eastAsia="仿宋" w:cs="仿宋"/>
          <w:spacing w:val="-6"/>
          <w:sz w:val="32"/>
          <w:szCs w:val="32"/>
        </w:rPr>
        <w:t>费、</w:t>
      </w:r>
      <w:r>
        <w:rPr>
          <w:rFonts w:ascii="仿宋" w:hAnsi="仿宋" w:eastAsia="仿宋" w:cs="仿宋"/>
          <w:spacing w:val="-4"/>
          <w:sz w:val="32"/>
          <w:szCs w:val="32"/>
        </w:rPr>
        <w:t>印</w:t>
      </w:r>
      <w:r>
        <w:rPr>
          <w:rFonts w:ascii="仿宋" w:hAnsi="仿宋" w:eastAsia="仿宋" w:cs="仿宋"/>
          <w:spacing w:val="-3"/>
          <w:sz w:val="32"/>
          <w:szCs w:val="32"/>
        </w:rPr>
        <w:t>刷费、水电费、办公设备购置等公用经费。</w:t>
      </w:r>
    </w:p>
    <w:p w14:paraId="1899E71C">
      <w:pPr>
        <w:pStyle w:val="5"/>
        <w:widowControl/>
        <w:ind w:firstLine="643"/>
        <w:rPr>
          <w:rFonts w:eastAsia="楷体"/>
          <w:b/>
          <w:sz w:val="32"/>
          <w:szCs w:val="32"/>
        </w:rPr>
      </w:pPr>
      <w:r>
        <w:rPr>
          <w:rFonts w:eastAsia="楷体"/>
          <w:b/>
          <w:sz w:val="32"/>
          <w:szCs w:val="32"/>
        </w:rPr>
        <w:t>（二）项目支出情况</w:t>
      </w:r>
    </w:p>
    <w:p w14:paraId="48A1C8A2">
      <w:pPr>
        <w:spacing w:before="1" w:line="360" w:lineRule="auto"/>
        <w:ind w:left="1" w:firstLine="627"/>
        <w:rPr>
          <w:rFonts w:ascii="仿宋" w:hAnsi="仿宋" w:eastAsia="仿宋" w:cs="仿宋"/>
          <w:sz w:val="32"/>
          <w:szCs w:val="32"/>
        </w:rPr>
      </w:pPr>
      <w:r>
        <w:rPr>
          <w:rFonts w:ascii="仿宋" w:hAnsi="仿宋" w:eastAsia="仿宋" w:cs="仿宋"/>
          <w:spacing w:val="-9"/>
          <w:sz w:val="32"/>
          <w:szCs w:val="32"/>
        </w:rPr>
        <w:t>2023 年本单位项目支出</w:t>
      </w:r>
      <w:r>
        <w:rPr>
          <w:rFonts w:hint="eastAsia" w:ascii="仿宋" w:hAnsi="仿宋" w:eastAsia="仿宋" w:cs="仿宋"/>
          <w:spacing w:val="-9"/>
          <w:sz w:val="32"/>
          <w:szCs w:val="32"/>
          <w:lang w:val="en-US" w:eastAsia="zh-CN"/>
        </w:rPr>
        <w:t>468.13</w:t>
      </w:r>
      <w:r>
        <w:rPr>
          <w:rFonts w:ascii="仿宋" w:hAnsi="仿宋" w:eastAsia="仿宋" w:cs="仿宋"/>
          <w:spacing w:val="-9"/>
          <w:sz w:val="32"/>
          <w:szCs w:val="32"/>
        </w:rPr>
        <w:t>万元</w:t>
      </w:r>
      <w:r>
        <w:rPr>
          <w:rFonts w:ascii="仿宋" w:hAnsi="仿宋" w:eastAsia="仿宋" w:cs="仿宋"/>
          <w:spacing w:val="-4"/>
          <w:sz w:val="32"/>
          <w:szCs w:val="32"/>
        </w:rPr>
        <w:t>，</w:t>
      </w:r>
      <w:r>
        <w:rPr>
          <w:rFonts w:ascii="仿宋" w:hAnsi="仿宋" w:eastAsia="仿宋" w:cs="仿宋"/>
          <w:spacing w:val="3"/>
          <w:sz w:val="32"/>
          <w:szCs w:val="32"/>
        </w:rPr>
        <w:t>主要是单位为完成特定行政工作任务或事业发展目标而发生</w:t>
      </w:r>
      <w:r>
        <w:rPr>
          <w:rFonts w:ascii="仿宋" w:hAnsi="仿宋" w:eastAsia="仿宋" w:cs="仿宋"/>
          <w:spacing w:val="1"/>
          <w:sz w:val="32"/>
          <w:szCs w:val="32"/>
        </w:rPr>
        <w:t>的</w:t>
      </w:r>
      <w:r>
        <w:rPr>
          <w:rFonts w:ascii="仿宋" w:hAnsi="仿宋" w:eastAsia="仿宋" w:cs="仿宋"/>
          <w:spacing w:val="-20"/>
          <w:sz w:val="32"/>
          <w:szCs w:val="32"/>
        </w:rPr>
        <w:t>支出</w:t>
      </w:r>
      <w:r>
        <w:rPr>
          <w:rFonts w:hint="eastAsia" w:ascii="仿宋" w:hAnsi="仿宋" w:eastAsia="仿宋" w:cs="仿宋"/>
          <w:spacing w:val="-20"/>
          <w:sz w:val="32"/>
          <w:szCs w:val="32"/>
          <w:lang w:eastAsia="zh-CN"/>
        </w:rPr>
        <w:t>，</w:t>
      </w:r>
      <w:r>
        <w:rPr>
          <w:rFonts w:ascii="仿宋" w:hAnsi="仿宋" w:eastAsia="仿宋" w:cs="仿宋"/>
          <w:spacing w:val="-7"/>
          <w:sz w:val="32"/>
          <w:szCs w:val="32"/>
        </w:rPr>
        <w:t>用于城区河道联合管理、</w:t>
      </w:r>
      <w:r>
        <w:rPr>
          <w:rFonts w:ascii="仿宋" w:hAnsi="仿宋" w:eastAsia="仿宋" w:cs="仿宋"/>
          <w:spacing w:val="-8"/>
          <w:sz w:val="32"/>
          <w:szCs w:val="32"/>
        </w:rPr>
        <w:t>联</w:t>
      </w:r>
      <w:r>
        <w:rPr>
          <w:rFonts w:ascii="仿宋" w:hAnsi="仿宋" w:eastAsia="仿宋" w:cs="仿宋"/>
          <w:spacing w:val="-5"/>
          <w:sz w:val="32"/>
          <w:szCs w:val="32"/>
        </w:rPr>
        <w:t>合</w:t>
      </w:r>
      <w:r>
        <w:rPr>
          <w:rFonts w:ascii="仿宋" w:hAnsi="仿宋" w:eastAsia="仿宋" w:cs="仿宋"/>
          <w:spacing w:val="-4"/>
          <w:sz w:val="32"/>
          <w:szCs w:val="32"/>
        </w:rPr>
        <w:t>执法、河道监管以及协警劳务费</w:t>
      </w:r>
      <w:r>
        <w:rPr>
          <w:rFonts w:hint="eastAsia" w:ascii="仿宋" w:hAnsi="仿宋" w:eastAsia="仿宋" w:cs="仿宋"/>
          <w:spacing w:val="-4"/>
          <w:sz w:val="32"/>
          <w:szCs w:val="32"/>
          <w:lang w:val="en-US" w:eastAsia="zh-CN"/>
        </w:rPr>
        <w:t>等</w:t>
      </w:r>
      <w:r>
        <w:rPr>
          <w:rFonts w:ascii="仿宋" w:hAnsi="仿宋" w:eastAsia="仿宋" w:cs="仿宋"/>
          <w:spacing w:val="-4"/>
          <w:sz w:val="32"/>
          <w:szCs w:val="32"/>
        </w:rPr>
        <w:t>。</w:t>
      </w:r>
    </w:p>
    <w:p w14:paraId="3609D096">
      <w:pPr>
        <w:pStyle w:val="5"/>
        <w:widowControl/>
        <w:numPr>
          <w:ilvl w:val="0"/>
          <w:numId w:val="1"/>
        </w:numPr>
        <w:ind w:left="0" w:leftChars="0" w:firstLine="640" w:firstLineChars="200"/>
        <w:rPr>
          <w:rFonts w:eastAsia="黑体"/>
          <w:sz w:val="32"/>
          <w:szCs w:val="32"/>
        </w:rPr>
      </w:pPr>
      <w:r>
        <w:rPr>
          <w:rFonts w:eastAsia="黑体"/>
          <w:sz w:val="32"/>
          <w:szCs w:val="32"/>
        </w:rPr>
        <w:t>政府性基金预算支出情况</w:t>
      </w:r>
    </w:p>
    <w:p w14:paraId="3DCB324F">
      <w:pPr>
        <w:pStyle w:val="5"/>
        <w:widowControl/>
        <w:numPr>
          <w:ilvl w:val="0"/>
          <w:numId w:val="0"/>
        </w:numPr>
        <w:ind w:leftChars="200"/>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本单位无政府基金预算支出情况</w:t>
      </w:r>
    </w:p>
    <w:p w14:paraId="33FAD108">
      <w:pPr>
        <w:pStyle w:val="5"/>
        <w:widowControl/>
        <w:numPr>
          <w:ilvl w:val="0"/>
          <w:numId w:val="1"/>
        </w:numPr>
        <w:ind w:left="0" w:leftChars="0" w:firstLine="640" w:firstLineChars="200"/>
        <w:rPr>
          <w:rFonts w:eastAsia="黑体"/>
          <w:sz w:val="32"/>
          <w:szCs w:val="32"/>
        </w:rPr>
      </w:pPr>
      <w:r>
        <w:rPr>
          <w:rFonts w:eastAsia="黑体"/>
          <w:sz w:val="32"/>
          <w:szCs w:val="32"/>
        </w:rPr>
        <w:t>国有资本经营预算支出情况</w:t>
      </w:r>
    </w:p>
    <w:p w14:paraId="2065E98C">
      <w:pPr>
        <w:pStyle w:val="5"/>
        <w:widowControl/>
        <w:numPr>
          <w:ilvl w:val="0"/>
          <w:numId w:val="0"/>
        </w:numPr>
        <w:ind w:leftChars="200"/>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本单位无国有资本经营预算支出情况</w:t>
      </w:r>
    </w:p>
    <w:p w14:paraId="50127D9F">
      <w:pPr>
        <w:pStyle w:val="5"/>
        <w:widowControl/>
        <w:numPr>
          <w:ilvl w:val="0"/>
          <w:numId w:val="1"/>
        </w:numPr>
        <w:ind w:left="0" w:leftChars="0" w:firstLine="640" w:firstLineChars="200"/>
        <w:rPr>
          <w:rFonts w:eastAsia="黑体"/>
          <w:sz w:val="32"/>
          <w:szCs w:val="32"/>
        </w:rPr>
      </w:pPr>
      <w:r>
        <w:rPr>
          <w:rFonts w:eastAsia="黑体"/>
          <w:sz w:val="32"/>
          <w:szCs w:val="32"/>
        </w:rPr>
        <w:t>社会保险基金预算支出情况</w:t>
      </w:r>
    </w:p>
    <w:p w14:paraId="7A1C9ADD">
      <w:pPr>
        <w:pStyle w:val="5"/>
        <w:widowControl/>
        <w:numPr>
          <w:ilvl w:val="0"/>
          <w:numId w:val="0"/>
        </w:numPr>
        <w:ind w:leftChars="200"/>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本单位无社会保险基金预算支出情况</w:t>
      </w:r>
    </w:p>
    <w:p w14:paraId="27B76509">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481D783D">
      <w:pPr>
        <w:pStyle w:val="5"/>
        <w:widowControl/>
        <w:ind w:firstLine="64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从数量、质量、时效等方面看，我单位很好地完成了整体支出绩效目标，预算执行进度均衡，总体完成率较高，各项工作圆满完成年度主要计划任务。整体支出全年执行数为951.35万元，其中：基本支出483.08万元；用于保障在职人员、离退休人员工资经费和公用经费，确保日常工作正常运转；项目经费支出</w:t>
      </w:r>
      <w:r>
        <w:rPr>
          <w:rFonts w:hint="eastAsia" w:eastAsia="仿宋" w:cs="Times New Roman"/>
          <w:kern w:val="2"/>
          <w:sz w:val="32"/>
          <w:szCs w:val="32"/>
          <w:lang w:val="en-US" w:eastAsia="zh-CN" w:bidi="ar-SA"/>
        </w:rPr>
        <w:t>468.27</w:t>
      </w:r>
      <w:r>
        <w:rPr>
          <w:rFonts w:hint="eastAsia" w:ascii="Times New Roman" w:hAnsi="Times New Roman" w:eastAsia="仿宋" w:cs="Times New Roman"/>
          <w:kern w:val="2"/>
          <w:sz w:val="32"/>
          <w:szCs w:val="32"/>
          <w:lang w:val="en-US" w:eastAsia="zh-CN" w:bidi="ar-SA"/>
        </w:rPr>
        <w:t>万元。主要用于单位专项开支。全 年资金支出规范、运转顺畅、资金下达合法，无铺张浪费，无债务风险，有力保障重点工作，基本实现整体支出绩效目标</w:t>
      </w:r>
    </w:p>
    <w:p w14:paraId="102AFCEB">
      <w:pPr>
        <w:pStyle w:val="5"/>
        <w:widowControl/>
        <w:ind w:firstLine="640"/>
        <w:rPr>
          <w:rFonts w:eastAsia="黑体"/>
          <w:sz w:val="32"/>
          <w:szCs w:val="32"/>
        </w:rPr>
      </w:pPr>
      <w:r>
        <w:rPr>
          <w:rFonts w:eastAsia="黑体"/>
          <w:sz w:val="32"/>
          <w:szCs w:val="32"/>
        </w:rPr>
        <w:t>七、存在的问题及原因分析</w:t>
      </w:r>
    </w:p>
    <w:p w14:paraId="36841DA7">
      <w:pPr>
        <w:spacing w:beforeLines="0" w:afterLines="0" w:line="360" w:lineRule="auto"/>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预算编制还不够细致和准确，本单位当年预算执行中因养老保险、医疗保险、住房公积金以及医保铺底等财政预算安排的资金是按在职职工人数及工资基数测算，与实际情况有差距，单位在办案经费中调整解决，再加上财政年终追加预算，造成当年决算和年初预算有一定的差距。</w:t>
      </w:r>
    </w:p>
    <w:p w14:paraId="0DD70608">
      <w:pPr>
        <w:widowControl/>
        <w:numPr>
          <w:ilvl w:val="0"/>
          <w:numId w:val="2"/>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3B6D6AE9">
      <w:pPr>
        <w:spacing w:beforeLines="0" w:afterLines="0" w:line="360" w:lineRule="auto"/>
        <w:ind w:firstLine="643"/>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及执行情况的公开。</w:t>
      </w:r>
    </w:p>
    <w:p w14:paraId="20F6DD63">
      <w:pPr>
        <w:pStyle w:val="2"/>
        <w:numPr>
          <w:ilvl w:val="0"/>
          <w:numId w:val="0"/>
        </w:numPr>
      </w:pPr>
    </w:p>
    <w:p w14:paraId="59830FB7">
      <w:pPr>
        <w:widowControl/>
        <w:ind w:firstLine="640" w:firstLineChars="200"/>
        <w:rPr>
          <w:rFonts w:ascii="黑体" w:hAnsi="黑体" w:eastAsia="黑体" w:cs="黑体"/>
          <w:kern w:val="0"/>
          <w:sz w:val="32"/>
          <w:szCs w:val="32"/>
        </w:rPr>
      </w:pPr>
      <w:r>
        <w:rPr>
          <w:rFonts w:ascii="Times New Roman" w:hAnsi="Times New Roman" w:eastAsia="黑体"/>
          <w:sz w:val="32"/>
          <w:szCs w:val="32"/>
        </w:rPr>
        <w:t>九、其他需要说明的情况</w:t>
      </w:r>
    </w:p>
    <w:p w14:paraId="5419E187">
      <w:pPr>
        <w:spacing w:line="360" w:lineRule="auto"/>
        <w:ind w:firstLine="600" w:firstLineChars="20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DD492"/>
    <w:multiLevelType w:val="singleLevel"/>
    <w:tmpl w:val="4D5DD492"/>
    <w:lvl w:ilvl="0" w:tentative="0">
      <w:start w:val="8"/>
      <w:numFmt w:val="chineseCounting"/>
      <w:suff w:val="nothing"/>
      <w:lvlText w:val="%1、"/>
      <w:lvlJc w:val="left"/>
      <w:rPr>
        <w:rFonts w:hint="eastAsia"/>
      </w:rPr>
    </w:lvl>
  </w:abstractNum>
  <w:abstractNum w:abstractNumId="1">
    <w:nsid w:val="7A04E692"/>
    <w:multiLevelType w:val="singleLevel"/>
    <w:tmpl w:val="7A04E69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00000000"/>
    <w:rsid w:val="020E3E06"/>
    <w:rsid w:val="068F128E"/>
    <w:rsid w:val="0F206367"/>
    <w:rsid w:val="12460C5D"/>
    <w:rsid w:val="144A38F8"/>
    <w:rsid w:val="1CD31A7D"/>
    <w:rsid w:val="209E05F3"/>
    <w:rsid w:val="250E5D48"/>
    <w:rsid w:val="35523A2F"/>
    <w:rsid w:val="390C65EA"/>
    <w:rsid w:val="3A9C600F"/>
    <w:rsid w:val="3BB6283D"/>
    <w:rsid w:val="455F7AA2"/>
    <w:rsid w:val="46FD7572"/>
    <w:rsid w:val="487B6F23"/>
    <w:rsid w:val="49D316EC"/>
    <w:rsid w:val="4C1415E6"/>
    <w:rsid w:val="4E5B4778"/>
    <w:rsid w:val="51917235"/>
    <w:rsid w:val="528B0128"/>
    <w:rsid w:val="58F06F37"/>
    <w:rsid w:val="6A072332"/>
    <w:rsid w:val="6D7E290C"/>
    <w:rsid w:val="6EE3511C"/>
    <w:rsid w:val="72FF44EF"/>
    <w:rsid w:val="744321B9"/>
    <w:rsid w:val="7F46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1509</Words>
  <Characters>1564</Characters>
  <Lines>0</Lines>
  <Paragraphs>0</Paragraphs>
  <TotalTime>5</TotalTime>
  <ScaleCrop>false</ScaleCrop>
  <LinksUpToDate>false</LinksUpToDate>
  <CharactersWithSpaces>1584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2024-03-26T08:38:00Z</dcterms:created>
  <dc:creator>祝小小</dc:creator>
  <cp:lastModifiedBy>Saraphines</cp:lastModifiedBy>
  <dcterms:modified xsi:type="dcterms:W3CDTF">2025-11-13T01:45:31Z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33130E1346274B3FB42839DC90F370BA_12</vt:lpwstr>
  </property>
  <property fmtid="{D5CDD505-2E9C-101B-9397-08002B2CF9AE}" pid="4" name="KSOTemplateDocerSaveRecord">
    <vt:lpwstr>eyJoZGlkIjoiM2FiZDIzMjBhYjY3YjcwYmIxYWI1NjM4YzVmYjEyMDMiLCJ1c2VySWQiOiIxMTQ1MDc1ODk4In0=</vt:lpwstr>
  </property>
</Properties>
</file>