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4CA90">
      <w:pPr>
        <w:spacing w:afterLines="100"/>
        <w:rPr>
          <w:rFonts w:hint="eastAsia" w:ascii="黑体" w:hAnsi="黑体" w:eastAsia="黑体" w:cs="黑体"/>
          <w:kern w:val="0"/>
          <w:sz w:val="32"/>
          <w:szCs w:val="32"/>
          <w:lang w:val="en-US"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2</w:t>
      </w:r>
    </w:p>
    <w:p w14:paraId="158ADFFA">
      <w:pPr>
        <w:spacing w:afterLines="100"/>
        <w:rPr>
          <w:rFonts w:hint="eastAsia" w:ascii="黑体" w:hAnsi="黑体" w:eastAsia="黑体" w:cs="黑体"/>
          <w:kern w:val="0"/>
          <w:sz w:val="32"/>
          <w:szCs w:val="32"/>
          <w:lang w:val="en-US" w:eastAsia="zh-CN"/>
        </w:rPr>
      </w:pPr>
    </w:p>
    <w:p w14:paraId="7F891073">
      <w:pPr>
        <w:jc w:val="center"/>
        <w:rPr>
          <w:rFonts w:ascii="Times New Roman" w:hAnsi="Times New Roman" w:eastAsia="方正小标宋简体"/>
          <w:sz w:val="48"/>
          <w:szCs w:val="48"/>
        </w:rPr>
      </w:pPr>
      <w:r>
        <w:rPr>
          <w:rFonts w:ascii="Times New Roman" w:hAnsi="Times New Roman" w:eastAsia="方正小标宋简体"/>
          <w:sz w:val="48"/>
          <w:szCs w:val="48"/>
        </w:rPr>
        <w:t>部门整体支出绩效自评报告</w:t>
      </w:r>
    </w:p>
    <w:p w14:paraId="219F29C7">
      <w:pPr>
        <w:jc w:val="center"/>
        <w:rPr>
          <w:rFonts w:ascii="Times New Roman" w:hAnsi="Times New Roman" w:eastAsia="方正小标宋简体"/>
          <w:sz w:val="36"/>
          <w:szCs w:val="36"/>
        </w:rPr>
      </w:pPr>
      <w:r>
        <w:rPr>
          <w:rFonts w:hint="eastAsia" w:ascii="Times New Roman" w:hAnsi="Times New Roman" w:eastAsia="方正小标宋简体"/>
          <w:sz w:val="36"/>
          <w:szCs w:val="36"/>
        </w:rPr>
        <w:t>（</w:t>
      </w:r>
      <w:r>
        <w:rPr>
          <w:rFonts w:ascii="Times New Roman" w:hAnsi="Times New Roman" w:eastAsia="方正小标宋简体"/>
          <w:sz w:val="36"/>
          <w:szCs w:val="36"/>
        </w:rPr>
        <w:t>202</w:t>
      </w:r>
      <w:r>
        <w:rPr>
          <w:rFonts w:hint="eastAsia" w:ascii="Times New Roman" w:hAnsi="Times New Roman" w:eastAsia="方正小标宋简体"/>
          <w:sz w:val="36"/>
          <w:szCs w:val="36"/>
          <w:lang w:val="en-US" w:eastAsia="zh-CN"/>
        </w:rPr>
        <w:t>4</w:t>
      </w:r>
      <w:r>
        <w:rPr>
          <w:rFonts w:ascii="Times New Roman" w:hAnsi="Times New Roman" w:eastAsia="方正小标宋简体"/>
          <w:sz w:val="36"/>
          <w:szCs w:val="36"/>
        </w:rPr>
        <w:t>年度</w:t>
      </w:r>
      <w:r>
        <w:rPr>
          <w:rFonts w:hint="eastAsia" w:ascii="Times New Roman" w:hAnsi="Times New Roman" w:eastAsia="方正小标宋简体"/>
          <w:sz w:val="36"/>
          <w:szCs w:val="36"/>
        </w:rPr>
        <w:t>）</w:t>
      </w:r>
    </w:p>
    <w:p w14:paraId="5372DCF2">
      <w:pPr>
        <w:jc w:val="center"/>
        <w:rPr>
          <w:rFonts w:ascii="Times New Roman" w:hAnsi="Times New Roman" w:eastAsia="黑体"/>
          <w:sz w:val="32"/>
          <w:szCs w:val="32"/>
        </w:rPr>
      </w:pPr>
    </w:p>
    <w:p w14:paraId="5279C175">
      <w:pPr>
        <w:jc w:val="center"/>
        <w:rPr>
          <w:rFonts w:ascii="Times New Roman" w:hAnsi="Times New Roman" w:eastAsia="黑体"/>
          <w:sz w:val="32"/>
          <w:szCs w:val="32"/>
        </w:rPr>
      </w:pPr>
      <w:bookmarkStart w:id="0" w:name="_GoBack"/>
      <w:bookmarkEnd w:id="0"/>
    </w:p>
    <w:p w14:paraId="2E93A8CE">
      <w:pPr>
        <w:jc w:val="center"/>
        <w:rPr>
          <w:rFonts w:ascii="Times New Roman" w:hAnsi="Times New Roman" w:eastAsia="黑体"/>
          <w:sz w:val="32"/>
          <w:szCs w:val="32"/>
        </w:rPr>
      </w:pPr>
    </w:p>
    <w:p w14:paraId="2E616DD7">
      <w:pPr>
        <w:jc w:val="center"/>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 xml:space="preserve"> </w:t>
      </w:r>
    </w:p>
    <w:p w14:paraId="27046E10">
      <w:pPr>
        <w:rPr>
          <w:rFonts w:ascii="Times New Roman" w:hAnsi="Times New Roman" w:eastAsia="黑体"/>
          <w:sz w:val="32"/>
          <w:szCs w:val="32"/>
        </w:rPr>
      </w:pPr>
    </w:p>
    <w:p w14:paraId="0450BE2A">
      <w:pPr>
        <w:jc w:val="center"/>
        <w:rPr>
          <w:rFonts w:ascii="Times New Roman" w:hAnsi="Times New Roman"/>
          <w:sz w:val="36"/>
          <w:szCs w:val="36"/>
        </w:rPr>
      </w:pPr>
    </w:p>
    <w:p w14:paraId="7290D350">
      <w:pPr>
        <w:jc w:val="center"/>
        <w:rPr>
          <w:rFonts w:ascii="Times New Roman" w:hAnsi="Times New Roman"/>
          <w:sz w:val="36"/>
          <w:szCs w:val="36"/>
        </w:rPr>
      </w:pPr>
    </w:p>
    <w:p w14:paraId="0E8E72D1">
      <w:pPr>
        <w:jc w:val="center"/>
        <w:rPr>
          <w:rFonts w:ascii="Times New Roman" w:hAnsi="Times New Roman"/>
          <w:sz w:val="36"/>
          <w:szCs w:val="36"/>
        </w:rPr>
      </w:pPr>
    </w:p>
    <w:p w14:paraId="09B6030C">
      <w:pPr>
        <w:jc w:val="center"/>
        <w:rPr>
          <w:rFonts w:ascii="Times New Roman" w:hAnsi="Times New Roman"/>
          <w:sz w:val="36"/>
          <w:szCs w:val="36"/>
        </w:rPr>
      </w:pPr>
    </w:p>
    <w:p w14:paraId="56FED743">
      <w:pPr>
        <w:jc w:val="center"/>
        <w:rPr>
          <w:rFonts w:hint="default" w:ascii="Times New Roman" w:hAnsi="Times New Roman" w:eastAsia="宋体"/>
          <w:sz w:val="36"/>
          <w:szCs w:val="36"/>
          <w:lang w:val="en-US" w:eastAsia="zh-CN"/>
        </w:rPr>
      </w:pPr>
      <w:r>
        <w:rPr>
          <w:rFonts w:ascii="Times New Roman" w:hAnsi="Times New Roman"/>
          <w:sz w:val="36"/>
          <w:szCs w:val="36"/>
        </w:rPr>
        <w:t>单位名称</w:t>
      </w:r>
      <w:r>
        <w:rPr>
          <w:rFonts w:hint="eastAsia" w:ascii="Times New Roman" w:hAnsi="Times New Roman"/>
          <w:sz w:val="36"/>
          <w:szCs w:val="36"/>
        </w:rPr>
        <w:t>：（盖章）</w:t>
      </w:r>
      <w:r>
        <w:rPr>
          <w:rFonts w:hint="eastAsia" w:ascii="Times New Roman" w:hAnsi="Times New Roman"/>
          <w:sz w:val="36"/>
          <w:szCs w:val="36"/>
          <w:lang w:val="en-US" w:eastAsia="zh-CN"/>
        </w:rPr>
        <w:t>衡阳市职业中等专业学校</w:t>
      </w:r>
    </w:p>
    <w:p w14:paraId="6CCADC70">
      <w:pPr>
        <w:ind w:firstLine="720" w:firstLineChars="200"/>
        <w:jc w:val="both"/>
        <w:rPr>
          <w:rFonts w:ascii="Times New Roman" w:hAnsi="Times New Roman" w:eastAsia="黑体"/>
          <w:sz w:val="36"/>
          <w:szCs w:val="36"/>
        </w:rPr>
      </w:pPr>
      <w:r>
        <w:rPr>
          <w:rFonts w:hint="eastAsia" w:ascii="Times New Roman" w:hAnsi="Times New Roman"/>
          <w:sz w:val="36"/>
          <w:szCs w:val="36"/>
        </w:rPr>
        <w:t>主要负责人签字</w:t>
      </w:r>
      <w:r>
        <w:rPr>
          <w:rFonts w:ascii="Times New Roman" w:hAnsi="Times New Roman"/>
          <w:sz w:val="36"/>
          <w:szCs w:val="36"/>
        </w:rPr>
        <w:t>：</w:t>
      </w:r>
    </w:p>
    <w:p w14:paraId="15CA476F">
      <w:pPr>
        <w:jc w:val="center"/>
        <w:rPr>
          <w:rFonts w:ascii="Times New Roman" w:hAnsi="Times New Roman" w:eastAsia="黑体"/>
          <w:sz w:val="36"/>
          <w:szCs w:val="36"/>
        </w:rPr>
      </w:pPr>
    </w:p>
    <w:p w14:paraId="6C761943">
      <w:pPr>
        <w:jc w:val="center"/>
        <w:rPr>
          <w:rFonts w:ascii="Times New Roman" w:hAnsi="Times New Roman" w:eastAsia="黑体"/>
          <w:sz w:val="32"/>
          <w:szCs w:val="32"/>
        </w:rPr>
      </w:pPr>
      <w:r>
        <w:rPr>
          <w:rFonts w:hint="eastAsia" w:ascii="Times New Roman" w:hAnsi="Times New Roman" w:eastAsia="黑体"/>
          <w:sz w:val="32"/>
          <w:szCs w:val="32"/>
          <w:lang w:val="en-US" w:eastAsia="zh-CN"/>
        </w:rPr>
        <w:t>2025</w:t>
      </w:r>
      <w:r>
        <w:rPr>
          <w:rFonts w:ascii="Times New Roman" w:hAnsi="Times New Roman" w:eastAsia="黑体"/>
          <w:sz w:val="32"/>
          <w:szCs w:val="32"/>
        </w:rPr>
        <w:t>年</w:t>
      </w:r>
      <w:r>
        <w:rPr>
          <w:rFonts w:hint="eastAsia" w:ascii="Times New Roman" w:hAnsi="Times New Roman" w:eastAsia="黑体"/>
          <w:sz w:val="32"/>
          <w:szCs w:val="32"/>
          <w:lang w:val="en-US" w:eastAsia="zh-CN"/>
        </w:rPr>
        <w:t>2</w:t>
      </w:r>
      <w:r>
        <w:rPr>
          <w:rFonts w:ascii="Times New Roman" w:hAnsi="Times New Roman" w:eastAsia="黑体"/>
          <w:sz w:val="32"/>
          <w:szCs w:val="32"/>
        </w:rPr>
        <w:t>月</w:t>
      </w:r>
      <w:r>
        <w:rPr>
          <w:rFonts w:hint="eastAsia" w:ascii="Times New Roman" w:hAnsi="Times New Roman" w:eastAsia="黑体"/>
          <w:sz w:val="32"/>
          <w:szCs w:val="32"/>
          <w:lang w:val="en-US" w:eastAsia="zh-CN"/>
        </w:rPr>
        <w:t>26</w:t>
      </w:r>
      <w:r>
        <w:rPr>
          <w:rFonts w:ascii="Times New Roman" w:hAnsi="Times New Roman" w:eastAsia="黑体"/>
          <w:sz w:val="32"/>
          <w:szCs w:val="32"/>
        </w:rPr>
        <w:t>日</w:t>
      </w:r>
    </w:p>
    <w:p w14:paraId="389F0E1C">
      <w:pPr>
        <w:jc w:val="center"/>
        <w:rPr>
          <w:rFonts w:ascii="Times New Roman" w:hAnsi="Times New Roman" w:eastAsia="黑体"/>
          <w:sz w:val="32"/>
          <w:szCs w:val="32"/>
        </w:rPr>
      </w:pPr>
    </w:p>
    <w:p w14:paraId="239BD900">
      <w:pPr>
        <w:spacing w:line="600" w:lineRule="exact"/>
        <w:rPr>
          <w:rFonts w:ascii="Times New Roman" w:hAnsi="Times New Roman" w:eastAsia="方正小标宋简体"/>
          <w:sz w:val="44"/>
          <w:szCs w:val="44"/>
        </w:rPr>
      </w:pPr>
    </w:p>
    <w:p w14:paraId="7C4DABA4">
      <w:pPr>
        <w:spacing w:line="600" w:lineRule="exact"/>
        <w:jc w:val="center"/>
        <w:rPr>
          <w:rFonts w:ascii="Times New Roman" w:hAnsi="Times New Roman" w:eastAsia="方正小标宋简体"/>
          <w:sz w:val="44"/>
          <w:szCs w:val="44"/>
        </w:rPr>
      </w:pPr>
    </w:p>
    <w:p w14:paraId="378019C1">
      <w:pPr>
        <w:spacing w:line="600" w:lineRule="exact"/>
        <w:jc w:val="center"/>
        <w:rPr>
          <w:rFonts w:ascii="Times New Roman" w:hAnsi="Times New Roman" w:eastAsia="方正小标宋简体"/>
          <w:sz w:val="44"/>
          <w:szCs w:val="44"/>
        </w:rPr>
      </w:pPr>
    </w:p>
    <w:p w14:paraId="2EE59712">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部门整体支出绩效自评报告</w:t>
      </w:r>
    </w:p>
    <w:p w14:paraId="1924B6A0">
      <w:pPr>
        <w:rPr>
          <w:rFonts w:ascii="Times New Roman" w:hAnsi="Times New Roman" w:eastAsia="方正小标宋_GBK"/>
          <w:sz w:val="32"/>
          <w:szCs w:val="32"/>
        </w:rPr>
      </w:pPr>
    </w:p>
    <w:p w14:paraId="5D008679">
      <w:pPr>
        <w:pStyle w:val="4"/>
        <w:widowControl/>
        <w:ind w:firstLine="640"/>
        <w:rPr>
          <w:rFonts w:eastAsia="黑体"/>
          <w:sz w:val="32"/>
          <w:szCs w:val="32"/>
        </w:rPr>
      </w:pPr>
      <w:r>
        <w:rPr>
          <w:rFonts w:eastAsia="黑体"/>
          <w:sz w:val="32"/>
          <w:szCs w:val="32"/>
        </w:rPr>
        <w:t>一、部门、单位基本情况</w:t>
      </w:r>
    </w:p>
    <w:p w14:paraId="3DC3F05E">
      <w:pPr>
        <w:widowControl/>
        <w:ind w:firstLine="640" w:firstLineChars="200"/>
        <w:rPr>
          <w:rFonts w:eastAsia="仿宋"/>
          <w:color w:val="000000"/>
          <w:sz w:val="32"/>
          <w:szCs w:val="32"/>
        </w:rPr>
      </w:pPr>
      <w:r>
        <w:rPr>
          <w:rFonts w:hint="eastAsia" w:eastAsia="仿宋"/>
          <w:color w:val="000000"/>
          <w:sz w:val="32"/>
          <w:szCs w:val="32"/>
        </w:rPr>
        <w:t>我校是国家中等职业教育改革发展示范学校，国家级首批重点中等职业学校，湖南省卓越中职学校建设单位，湖南省首批楚怡双优A类中职学校，湖南省首批教育信息化应用示范学校建设单位，是市直属公办综合类全日制中等职业学校，主管部门为衡阳市教育局。</w:t>
      </w:r>
    </w:p>
    <w:p w14:paraId="5ABCE393">
      <w:pPr>
        <w:widowControl/>
        <w:shd w:val="clear" w:color="auto" w:fill="FFFFFF"/>
        <w:spacing w:line="640" w:lineRule="exact"/>
        <w:ind w:firstLine="640" w:firstLineChars="200"/>
        <w:jc w:val="left"/>
        <w:rPr>
          <w:rFonts w:ascii="Times New Roman" w:hAnsi="Times New Roman" w:eastAsia="仿宋"/>
          <w:sz w:val="32"/>
          <w:szCs w:val="32"/>
        </w:rPr>
      </w:pPr>
      <w:r>
        <w:rPr>
          <w:rFonts w:hint="eastAsia" w:eastAsia="仿宋"/>
          <w:sz w:val="32"/>
          <w:szCs w:val="32"/>
        </w:rPr>
        <w:t>我校是独立核算的财政全额拨款事业单位，执行事业单位会计制度。</w:t>
      </w:r>
      <w:r>
        <w:rPr>
          <w:rFonts w:hint="eastAsia" w:ascii="Times New Roman" w:hAnsi="Times New Roman" w:eastAsia="仿宋"/>
          <w:sz w:val="32"/>
          <w:szCs w:val="32"/>
        </w:rPr>
        <w:t>应有编制数</w:t>
      </w:r>
      <w:r>
        <w:rPr>
          <w:rFonts w:hint="eastAsia" w:ascii="Times New Roman" w:hAnsi="Times New Roman" w:eastAsia="仿宋"/>
          <w:sz w:val="32"/>
          <w:szCs w:val="32"/>
          <w:lang w:val="en-US" w:eastAsia="zh-CN"/>
        </w:rPr>
        <w:t>256</w:t>
      </w:r>
      <w:r>
        <w:rPr>
          <w:rFonts w:hint="eastAsia" w:ascii="Times New Roman" w:hAnsi="Times New Roman" w:eastAsia="仿宋"/>
          <w:sz w:val="32"/>
          <w:szCs w:val="32"/>
        </w:rPr>
        <w:t>人，在职教职工16</w:t>
      </w:r>
      <w:r>
        <w:rPr>
          <w:rFonts w:hint="eastAsia" w:ascii="Times New Roman" w:hAnsi="Times New Roman" w:eastAsia="仿宋"/>
          <w:sz w:val="32"/>
          <w:szCs w:val="32"/>
          <w:lang w:val="en-US" w:eastAsia="zh-CN"/>
        </w:rPr>
        <w:t>8</w:t>
      </w:r>
      <w:r>
        <w:rPr>
          <w:rFonts w:hint="eastAsia" w:ascii="Times New Roman" w:hAnsi="Times New Roman" w:eastAsia="仿宋"/>
          <w:sz w:val="32"/>
          <w:szCs w:val="32"/>
        </w:rPr>
        <w:t>人，外聘兼职教师8人，离退休教职工1</w:t>
      </w:r>
      <w:r>
        <w:rPr>
          <w:rFonts w:hint="eastAsia" w:ascii="Times New Roman" w:hAnsi="Times New Roman" w:eastAsia="仿宋"/>
          <w:sz w:val="32"/>
          <w:szCs w:val="32"/>
          <w:lang w:val="en-US" w:eastAsia="zh-CN"/>
        </w:rPr>
        <w:t>44</w:t>
      </w:r>
      <w:r>
        <w:rPr>
          <w:rFonts w:hint="eastAsia" w:ascii="Times New Roman" w:hAnsi="Times New Roman" w:eastAsia="仿宋"/>
          <w:sz w:val="32"/>
          <w:szCs w:val="32"/>
        </w:rPr>
        <w:t>人。学校现开设有计算机应用、计算机网络技术、电子技术应用、电算会计化、电子商务、服装设计与工艺、幼儿保育、旅游服务与管理等15个专业，现有在校学生3</w:t>
      </w:r>
      <w:r>
        <w:rPr>
          <w:rFonts w:hint="eastAsia" w:ascii="Times New Roman" w:hAnsi="Times New Roman" w:eastAsia="仿宋"/>
          <w:sz w:val="32"/>
          <w:szCs w:val="32"/>
          <w:lang w:val="en-US" w:eastAsia="zh-CN"/>
        </w:rPr>
        <w:t>269</w:t>
      </w:r>
      <w:r>
        <w:rPr>
          <w:rFonts w:hint="eastAsia" w:ascii="Times New Roman" w:hAnsi="Times New Roman" w:eastAsia="仿宋"/>
          <w:sz w:val="32"/>
          <w:szCs w:val="32"/>
        </w:rPr>
        <w:t>余人，</w:t>
      </w:r>
      <w:r>
        <w:rPr>
          <w:rFonts w:hint="eastAsia" w:ascii="Times New Roman" w:hAnsi="Times New Roman" w:eastAsia="仿宋"/>
          <w:sz w:val="32"/>
          <w:szCs w:val="32"/>
          <w:lang w:val="en-US" w:eastAsia="zh-CN"/>
        </w:rPr>
        <w:t>55</w:t>
      </w:r>
      <w:r>
        <w:rPr>
          <w:rFonts w:hint="eastAsia" w:ascii="Times New Roman" w:hAnsi="Times New Roman" w:eastAsia="仿宋"/>
          <w:sz w:val="32"/>
          <w:szCs w:val="32"/>
        </w:rPr>
        <w:t>个教学班。</w:t>
      </w:r>
    </w:p>
    <w:p w14:paraId="1B735373">
      <w:pPr>
        <w:widowControl/>
        <w:shd w:val="clear" w:color="auto" w:fill="FFFFFF"/>
        <w:spacing w:line="640" w:lineRule="exact"/>
        <w:ind w:firstLine="640" w:firstLineChars="200"/>
        <w:jc w:val="left"/>
        <w:rPr>
          <w:rFonts w:ascii="Times New Roman" w:hAnsi="Times New Roman" w:eastAsia="仿宋"/>
          <w:sz w:val="32"/>
          <w:szCs w:val="32"/>
        </w:rPr>
      </w:pPr>
      <w:r>
        <w:rPr>
          <w:rFonts w:hint="eastAsia" w:ascii="Times New Roman" w:hAnsi="Times New Roman" w:eastAsia="仿宋"/>
          <w:sz w:val="32"/>
          <w:szCs w:val="32"/>
        </w:rPr>
        <w:t>学校的主要职责是贯彻落实党的教育方针及有关教育工作的政策、法律、法规、规章，实施中等职业技术教育。学校始终坚持“以人为本，德育首位，一专多能”的办学理念，以服务地方经济社会发展为宗旨，增强学生专业技能，为社会及企事业单位培养一大批生产、服务第一线的高素质劳动者和实用技能型人才，促进地方经济和社会可持续发展。</w:t>
      </w:r>
    </w:p>
    <w:p w14:paraId="154D677B">
      <w:pPr>
        <w:widowControl/>
        <w:ind w:firstLine="640" w:firstLineChars="200"/>
        <w:rPr>
          <w:rFonts w:ascii="Times New Roman" w:hAnsi="Times New Roman" w:eastAsia="仿宋"/>
          <w:sz w:val="32"/>
          <w:szCs w:val="32"/>
        </w:rPr>
      </w:pPr>
      <w:r>
        <w:rPr>
          <w:rFonts w:ascii="Times New Roman" w:hAnsi="Times New Roman" w:eastAsia="仿宋"/>
          <w:sz w:val="32"/>
          <w:szCs w:val="32"/>
        </w:rPr>
        <w:t>（二）机构设置</w:t>
      </w:r>
    </w:p>
    <w:p w14:paraId="55879793">
      <w:pPr>
        <w:widowControl/>
        <w:shd w:val="clear" w:color="auto" w:fill="FFFFFF"/>
        <w:spacing w:line="640" w:lineRule="exact"/>
        <w:ind w:firstLine="640" w:firstLineChars="200"/>
        <w:jc w:val="left"/>
        <w:rPr>
          <w:rFonts w:ascii="Times New Roman" w:hAnsi="Times New Roman" w:eastAsia="仿宋"/>
          <w:sz w:val="32"/>
          <w:szCs w:val="32"/>
        </w:rPr>
      </w:pPr>
      <w:r>
        <w:rPr>
          <w:rFonts w:hint="eastAsia" w:ascii="Times New Roman" w:hAnsi="Times New Roman" w:eastAsia="仿宋"/>
          <w:sz w:val="32"/>
          <w:szCs w:val="32"/>
        </w:rPr>
        <w:t>衡阳市职业中等专业学校是衡阳市教育局主管的市直属公办综合类全日制中等职业学校，独立核算的财政全额拨款事业单位，二级预算单位。内设</w:t>
      </w:r>
      <w:r>
        <w:rPr>
          <w:rFonts w:ascii="Times New Roman" w:hAnsi="Times New Roman" w:eastAsia="仿宋"/>
          <w:sz w:val="32"/>
          <w:szCs w:val="32"/>
        </w:rPr>
        <w:t>办公室、教务</w:t>
      </w:r>
      <w:r>
        <w:rPr>
          <w:rFonts w:hint="eastAsia" w:ascii="Times New Roman" w:hAnsi="Times New Roman" w:eastAsia="仿宋"/>
          <w:sz w:val="32"/>
          <w:szCs w:val="32"/>
        </w:rPr>
        <w:t>科</w:t>
      </w:r>
      <w:r>
        <w:rPr>
          <w:rFonts w:ascii="Times New Roman" w:hAnsi="Times New Roman" w:eastAsia="仿宋"/>
          <w:sz w:val="32"/>
          <w:szCs w:val="32"/>
        </w:rPr>
        <w:t>、学生</w:t>
      </w:r>
      <w:r>
        <w:rPr>
          <w:rFonts w:hint="eastAsia" w:ascii="Times New Roman" w:hAnsi="Times New Roman" w:eastAsia="仿宋"/>
          <w:sz w:val="32"/>
          <w:szCs w:val="32"/>
        </w:rPr>
        <w:t>科、财务科</w:t>
      </w:r>
      <w:r>
        <w:rPr>
          <w:rFonts w:ascii="Times New Roman" w:hAnsi="Times New Roman" w:eastAsia="仿宋"/>
          <w:sz w:val="32"/>
          <w:szCs w:val="32"/>
        </w:rPr>
        <w:t>、</w:t>
      </w:r>
      <w:r>
        <w:rPr>
          <w:rFonts w:hint="eastAsia" w:ascii="Times New Roman" w:hAnsi="Times New Roman" w:eastAsia="仿宋"/>
          <w:sz w:val="32"/>
          <w:szCs w:val="32"/>
        </w:rPr>
        <w:t>后勤科、招生科、保卫科、实训中心、</w:t>
      </w:r>
      <w:r>
        <w:rPr>
          <w:rFonts w:ascii="Times New Roman" w:hAnsi="Times New Roman" w:eastAsia="仿宋"/>
          <w:sz w:val="32"/>
          <w:szCs w:val="32"/>
        </w:rPr>
        <w:t>培训</w:t>
      </w:r>
      <w:r>
        <w:rPr>
          <w:rFonts w:hint="eastAsia" w:ascii="Times New Roman" w:hAnsi="Times New Roman" w:eastAsia="仿宋"/>
          <w:sz w:val="32"/>
          <w:szCs w:val="32"/>
        </w:rPr>
        <w:t>中心、信息中心、</w:t>
      </w:r>
      <w:r>
        <w:rPr>
          <w:rFonts w:ascii="Times New Roman" w:hAnsi="Times New Roman" w:eastAsia="仿宋"/>
          <w:sz w:val="32"/>
          <w:szCs w:val="32"/>
        </w:rPr>
        <w:t>就业</w:t>
      </w:r>
      <w:r>
        <w:rPr>
          <w:rFonts w:hint="eastAsia" w:ascii="Times New Roman" w:hAnsi="Times New Roman" w:eastAsia="仿宋"/>
          <w:sz w:val="32"/>
          <w:szCs w:val="32"/>
        </w:rPr>
        <w:t>指导中心、机关党委 、纪检监察室等13个科室。</w:t>
      </w:r>
    </w:p>
    <w:p w14:paraId="4DCEBD97">
      <w:pPr>
        <w:widowControl/>
        <w:ind w:firstLine="640" w:firstLineChars="200"/>
        <w:rPr>
          <w:rFonts w:ascii="Times New Roman" w:hAnsi="Times New Roman" w:eastAsia="仿宋"/>
          <w:sz w:val="32"/>
          <w:szCs w:val="32"/>
        </w:rPr>
      </w:pPr>
      <w:r>
        <w:rPr>
          <w:rFonts w:hint="eastAsia" w:ascii="Times New Roman" w:hAnsi="Times New Roman" w:eastAsia="仿宋"/>
          <w:sz w:val="32"/>
          <w:szCs w:val="32"/>
        </w:rPr>
        <w:t>（三）部门整体支出</w:t>
      </w:r>
    </w:p>
    <w:p w14:paraId="0F4C25DF">
      <w:pPr>
        <w:widowControl/>
        <w:ind w:firstLine="640" w:firstLineChars="200"/>
        <w:rPr>
          <w:rFonts w:ascii="Times New Roman" w:hAnsi="Times New Roman" w:eastAsia="仿宋"/>
          <w:sz w:val="32"/>
          <w:szCs w:val="32"/>
        </w:rPr>
      </w:pPr>
      <w:r>
        <w:rPr>
          <w:rFonts w:hint="eastAsia" w:ascii="Times New Roman" w:hAnsi="Times New Roman" w:eastAsia="仿宋"/>
          <w:sz w:val="32"/>
          <w:szCs w:val="32"/>
        </w:rPr>
        <w:t>学校部门整体支出包括基本支出和项目支出。</w:t>
      </w:r>
    </w:p>
    <w:p w14:paraId="77559195">
      <w:pPr>
        <w:widowControl/>
        <w:ind w:firstLine="640" w:firstLineChars="200"/>
        <w:rPr>
          <w:rFonts w:ascii="Times New Roman" w:hAnsi="Times New Roman" w:eastAsia="仿宋"/>
          <w:sz w:val="32"/>
          <w:szCs w:val="32"/>
        </w:rPr>
      </w:pPr>
      <w:r>
        <w:rPr>
          <w:rFonts w:hint="eastAsia" w:ascii="Times New Roman" w:hAnsi="Times New Roman" w:eastAsia="仿宋"/>
          <w:sz w:val="32"/>
          <w:szCs w:val="32"/>
        </w:rPr>
        <w:t>基本支出：保障教育教学工作的有效开展以及学校日常工作的正常运行。</w:t>
      </w:r>
    </w:p>
    <w:p w14:paraId="7F58812A">
      <w:pPr>
        <w:widowControl/>
        <w:ind w:firstLine="640" w:firstLineChars="200"/>
        <w:rPr>
          <w:rFonts w:eastAsia="黑体"/>
          <w:sz w:val="32"/>
          <w:szCs w:val="32"/>
        </w:rPr>
      </w:pPr>
      <w:r>
        <w:rPr>
          <w:rFonts w:hint="eastAsia" w:ascii="Times New Roman" w:hAnsi="Times New Roman" w:eastAsia="仿宋"/>
          <w:sz w:val="32"/>
          <w:szCs w:val="32"/>
        </w:rPr>
        <w:t>项目支出：完成特定工作任务或事业发展目标。如：新建女生公寓、专用设备购置、办公设备购置等。</w:t>
      </w:r>
    </w:p>
    <w:p w14:paraId="25C245B2">
      <w:pPr>
        <w:pStyle w:val="4"/>
        <w:widowControl/>
        <w:ind w:firstLine="640"/>
        <w:rPr>
          <w:rFonts w:eastAsia="黑体"/>
          <w:sz w:val="32"/>
          <w:szCs w:val="32"/>
        </w:rPr>
      </w:pPr>
      <w:r>
        <w:rPr>
          <w:rFonts w:eastAsia="黑体"/>
          <w:sz w:val="32"/>
          <w:szCs w:val="32"/>
        </w:rPr>
        <w:t>二、一般公共预算支出情况</w:t>
      </w:r>
    </w:p>
    <w:p w14:paraId="563F0ADB">
      <w:pPr>
        <w:pStyle w:val="4"/>
        <w:widowControl/>
        <w:ind w:firstLine="643"/>
        <w:rPr>
          <w:rFonts w:eastAsia="楷体"/>
          <w:b/>
          <w:sz w:val="32"/>
          <w:szCs w:val="32"/>
        </w:rPr>
      </w:pPr>
      <w:r>
        <w:rPr>
          <w:rFonts w:eastAsia="楷体"/>
          <w:b/>
          <w:sz w:val="32"/>
          <w:szCs w:val="32"/>
        </w:rPr>
        <w:t>（一）基本支出情况</w:t>
      </w:r>
    </w:p>
    <w:p w14:paraId="46ECC1AF">
      <w:pPr>
        <w:widowControl/>
        <w:ind w:firstLine="640" w:firstLineChars="200"/>
        <w:rPr>
          <w:rFonts w:ascii="Times New Roman" w:hAnsi="Times New Roman" w:eastAsia="仿宋"/>
          <w:sz w:val="32"/>
          <w:szCs w:val="32"/>
        </w:rPr>
      </w:pPr>
      <w:r>
        <w:rPr>
          <w:rFonts w:hint="eastAsia" w:ascii="Times New Roman" w:hAnsi="Times New Roman" w:eastAsia="仿宋"/>
          <w:sz w:val="32"/>
          <w:szCs w:val="32"/>
        </w:rPr>
        <w:t>本部门基本支出主要用于维持学校正常运转发生的基本支出和完成各项教育教学任务而发生的各项支出。</w:t>
      </w:r>
    </w:p>
    <w:p w14:paraId="03CF3763">
      <w:pPr>
        <w:widowControl/>
        <w:ind w:firstLine="640" w:firstLineChars="200"/>
        <w:rPr>
          <w:rFonts w:ascii="Times New Roman" w:hAnsi="Times New Roman" w:eastAsia="仿宋"/>
          <w:sz w:val="32"/>
          <w:szCs w:val="32"/>
        </w:rPr>
      </w:pPr>
      <w:r>
        <w:rPr>
          <w:rFonts w:ascii="Times New Roman" w:hAnsi="Times New Roman" w:eastAsia="仿宋"/>
          <w:sz w:val="32"/>
          <w:szCs w:val="32"/>
        </w:rPr>
        <w:t>202</w:t>
      </w:r>
      <w:r>
        <w:rPr>
          <w:rFonts w:hint="eastAsia" w:ascii="Times New Roman" w:hAnsi="Times New Roman" w:eastAsia="仿宋"/>
          <w:sz w:val="32"/>
          <w:szCs w:val="32"/>
          <w:lang w:val="en-US" w:eastAsia="zh-CN"/>
        </w:rPr>
        <w:t>4</w:t>
      </w:r>
      <w:r>
        <w:rPr>
          <w:rFonts w:ascii="Times New Roman" w:hAnsi="Times New Roman" w:eastAsia="仿宋"/>
          <w:sz w:val="32"/>
          <w:szCs w:val="32"/>
        </w:rPr>
        <w:t>年度财政拨款基本支出</w:t>
      </w:r>
      <w:r>
        <w:rPr>
          <w:rFonts w:hint="eastAsia" w:ascii="Times New Roman" w:hAnsi="Times New Roman" w:eastAsia="仿宋"/>
          <w:sz w:val="32"/>
          <w:szCs w:val="32"/>
        </w:rPr>
        <w:t>4</w:t>
      </w:r>
      <w:r>
        <w:rPr>
          <w:rFonts w:hint="eastAsia" w:ascii="Times New Roman" w:hAnsi="Times New Roman" w:eastAsia="仿宋"/>
          <w:sz w:val="32"/>
          <w:szCs w:val="32"/>
          <w:lang w:val="en-US" w:eastAsia="zh-CN"/>
        </w:rPr>
        <w:t>705</w:t>
      </w:r>
      <w:r>
        <w:rPr>
          <w:rFonts w:ascii="Times New Roman" w:hAnsi="Times New Roman" w:eastAsia="仿宋"/>
          <w:sz w:val="32"/>
          <w:szCs w:val="32"/>
        </w:rPr>
        <w:t>万元，其中：</w:t>
      </w:r>
    </w:p>
    <w:p w14:paraId="3F8C7827">
      <w:pPr>
        <w:widowControl/>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1.</w:t>
      </w:r>
      <w:r>
        <w:rPr>
          <w:rFonts w:hint="eastAsia" w:ascii="Times New Roman" w:hAnsi="Times New Roman" w:eastAsia="仿宋"/>
          <w:sz w:val="32"/>
          <w:szCs w:val="32"/>
        </w:rPr>
        <w:t>工资福利支出</w:t>
      </w:r>
      <w:r>
        <w:rPr>
          <w:rFonts w:hint="eastAsia" w:ascii="仿宋" w:hAnsi="仿宋" w:eastAsia="仿宋" w:cs="仿宋"/>
          <w:color w:val="auto"/>
          <w:sz w:val="32"/>
          <w:szCs w:val="32"/>
          <w:lang w:val="en-US" w:eastAsia="zh-CN"/>
        </w:rPr>
        <w:t>3195.96</w:t>
      </w:r>
      <w:r>
        <w:rPr>
          <w:rFonts w:hint="eastAsia" w:ascii="Times New Roman" w:hAnsi="Times New Roman" w:eastAsia="仿宋"/>
          <w:sz w:val="32"/>
          <w:szCs w:val="32"/>
        </w:rPr>
        <w:t>万元，占总支出的</w:t>
      </w:r>
      <w:r>
        <w:rPr>
          <w:rFonts w:hint="eastAsia" w:ascii="Times New Roman" w:hAnsi="Times New Roman" w:eastAsia="仿宋"/>
          <w:sz w:val="32"/>
          <w:szCs w:val="32"/>
          <w:lang w:val="en-US" w:eastAsia="zh-CN"/>
        </w:rPr>
        <w:t>67.92</w:t>
      </w:r>
      <w:r>
        <w:rPr>
          <w:rFonts w:hint="eastAsia" w:ascii="Times New Roman" w:hAnsi="Times New Roman" w:eastAsia="仿宋"/>
          <w:sz w:val="32"/>
          <w:szCs w:val="32"/>
        </w:rPr>
        <w:t>%。主要包括202</w:t>
      </w:r>
      <w:r>
        <w:rPr>
          <w:rFonts w:hint="eastAsia" w:ascii="Times New Roman" w:hAnsi="Times New Roman" w:eastAsia="仿宋"/>
          <w:sz w:val="32"/>
          <w:szCs w:val="32"/>
          <w:lang w:val="en-US" w:eastAsia="zh-CN"/>
        </w:rPr>
        <w:t>4</w:t>
      </w:r>
      <w:r>
        <w:rPr>
          <w:rFonts w:hint="eastAsia" w:ascii="Times New Roman" w:hAnsi="Times New Roman" w:eastAsia="仿宋"/>
          <w:sz w:val="32"/>
          <w:szCs w:val="32"/>
        </w:rPr>
        <w:t>年度在职人员基本工资、津贴补贴、</w:t>
      </w: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年度年终</w:t>
      </w:r>
      <w:r>
        <w:rPr>
          <w:rFonts w:hint="eastAsia" w:ascii="仿宋" w:hAnsi="仿宋" w:eastAsia="仿宋" w:cs="仿宋"/>
          <w:color w:val="000000"/>
          <w:sz w:val="32"/>
          <w:szCs w:val="32"/>
          <w:lang w:val="en-US" w:eastAsia="zh-CN"/>
        </w:rPr>
        <w:t>奖励性</w:t>
      </w:r>
      <w:r>
        <w:rPr>
          <w:rFonts w:hint="eastAsia" w:ascii="仿宋" w:hAnsi="仿宋" w:eastAsia="仿宋" w:cs="仿宋"/>
          <w:color w:val="000000"/>
          <w:sz w:val="32"/>
          <w:szCs w:val="32"/>
        </w:rPr>
        <w:t>绩效</w:t>
      </w:r>
      <w:r>
        <w:rPr>
          <w:rFonts w:hint="eastAsia" w:ascii="仿宋" w:hAnsi="仿宋" w:eastAsia="仿宋" w:cs="仿宋"/>
          <w:color w:val="000000"/>
          <w:sz w:val="32"/>
          <w:szCs w:val="32"/>
          <w:lang w:eastAsia="zh-CN"/>
        </w:rPr>
        <w:t>、</w:t>
      </w:r>
      <w:r>
        <w:rPr>
          <w:rFonts w:hint="eastAsia" w:ascii="Times New Roman" w:hAnsi="Times New Roman" w:eastAsia="仿宋"/>
          <w:sz w:val="32"/>
          <w:szCs w:val="32"/>
        </w:rPr>
        <w:t>202</w:t>
      </w:r>
      <w:r>
        <w:rPr>
          <w:rFonts w:hint="eastAsia" w:ascii="Times New Roman" w:hAnsi="Times New Roman" w:eastAsia="仿宋"/>
          <w:sz w:val="32"/>
          <w:szCs w:val="32"/>
          <w:lang w:val="en-US" w:eastAsia="zh-CN"/>
        </w:rPr>
        <w:t>3</w:t>
      </w:r>
      <w:r>
        <w:rPr>
          <w:rFonts w:hint="eastAsia" w:ascii="Times New Roman" w:hAnsi="Times New Roman" w:eastAsia="仿宋"/>
          <w:sz w:val="32"/>
          <w:szCs w:val="32"/>
        </w:rPr>
        <w:t>年在职人员年终奖、202</w:t>
      </w:r>
      <w:r>
        <w:rPr>
          <w:rFonts w:hint="eastAsia" w:ascii="Times New Roman" w:hAnsi="Times New Roman" w:eastAsia="仿宋"/>
          <w:sz w:val="32"/>
          <w:szCs w:val="32"/>
          <w:lang w:val="en-US" w:eastAsia="zh-CN"/>
        </w:rPr>
        <w:t>4</w:t>
      </w:r>
      <w:r>
        <w:rPr>
          <w:rFonts w:hint="eastAsia" w:ascii="Times New Roman" w:hAnsi="Times New Roman" w:eastAsia="仿宋"/>
          <w:sz w:val="32"/>
          <w:szCs w:val="32"/>
        </w:rPr>
        <w:t>年度在职人员</w:t>
      </w:r>
      <w:r>
        <w:rPr>
          <w:rFonts w:hint="eastAsia" w:ascii="Times New Roman" w:hAnsi="Times New Roman" w:eastAsia="仿宋"/>
          <w:sz w:val="32"/>
          <w:szCs w:val="32"/>
          <w:lang w:val="en-US" w:eastAsia="zh-CN"/>
        </w:rPr>
        <w:t>基础性</w:t>
      </w:r>
      <w:r>
        <w:rPr>
          <w:rFonts w:hint="eastAsia" w:ascii="Times New Roman" w:hAnsi="Times New Roman" w:eastAsia="仿宋"/>
          <w:sz w:val="32"/>
          <w:szCs w:val="32"/>
        </w:rPr>
        <w:t>绩效、绩效工资、机关事业单位基本养老保险费、职工基本医疗保险费、住房公积金、医疗费（医保铺底）、职业年金</w:t>
      </w:r>
      <w:r>
        <w:rPr>
          <w:rFonts w:hint="eastAsia" w:ascii="Times New Roman" w:hAnsi="Times New Roman" w:eastAsia="仿宋"/>
          <w:sz w:val="32"/>
          <w:szCs w:val="32"/>
          <w:lang w:eastAsia="zh-CN"/>
        </w:rPr>
        <w:t>、</w:t>
      </w:r>
      <w:r>
        <w:rPr>
          <w:rFonts w:hint="eastAsia" w:ascii="Times New Roman" w:hAnsi="Times New Roman" w:eastAsia="仿宋"/>
          <w:sz w:val="32"/>
          <w:szCs w:val="32"/>
          <w:lang w:val="en-US" w:eastAsia="zh-CN"/>
        </w:rPr>
        <w:t>工伤保险</w:t>
      </w:r>
      <w:r>
        <w:rPr>
          <w:rFonts w:hint="eastAsia" w:ascii="Times New Roman" w:hAnsi="Times New Roman" w:eastAsia="仿宋"/>
          <w:sz w:val="32"/>
          <w:szCs w:val="32"/>
        </w:rPr>
        <w:t>等。</w:t>
      </w:r>
    </w:p>
    <w:p w14:paraId="0AEA49F0">
      <w:pPr>
        <w:widowControl/>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2.</w:t>
      </w:r>
      <w:r>
        <w:rPr>
          <w:rFonts w:hint="eastAsia" w:ascii="Times New Roman" w:hAnsi="Times New Roman" w:eastAsia="仿宋"/>
          <w:sz w:val="32"/>
          <w:szCs w:val="32"/>
        </w:rPr>
        <w:t>商品和服务支出</w:t>
      </w:r>
      <w:r>
        <w:rPr>
          <w:rFonts w:hint="eastAsia" w:ascii="仿宋" w:hAnsi="仿宋" w:eastAsia="仿宋" w:cs="仿宋"/>
          <w:color w:val="000000"/>
          <w:sz w:val="32"/>
          <w:szCs w:val="32"/>
          <w:lang w:val="en-US" w:eastAsia="zh-CN"/>
        </w:rPr>
        <w:t>916.46</w:t>
      </w:r>
      <w:r>
        <w:rPr>
          <w:rFonts w:hint="eastAsia" w:ascii="Times New Roman" w:hAnsi="Times New Roman" w:eastAsia="仿宋"/>
          <w:sz w:val="32"/>
          <w:szCs w:val="32"/>
        </w:rPr>
        <w:t>万元，占总支出的</w:t>
      </w:r>
      <w:r>
        <w:rPr>
          <w:rFonts w:hint="eastAsia" w:ascii="Times New Roman" w:hAnsi="Times New Roman" w:eastAsia="仿宋"/>
          <w:sz w:val="32"/>
          <w:szCs w:val="32"/>
          <w:lang w:val="en-US" w:eastAsia="zh-CN"/>
        </w:rPr>
        <w:t>19.48</w:t>
      </w:r>
      <w:r>
        <w:rPr>
          <w:rFonts w:hint="eastAsia" w:ascii="Times New Roman" w:hAnsi="Times New Roman" w:eastAsia="仿宋"/>
          <w:sz w:val="32"/>
          <w:szCs w:val="32"/>
        </w:rPr>
        <w:t>%。主要包括印刷费、水电费、校园网络费、物业管理费、差旅费、维护费、培训费、技能竞赛和实训耗材等专用材料费、工会经费、劳务费、办公费、福利费、其他交通费用及其他商品和服务支出等。</w:t>
      </w:r>
    </w:p>
    <w:p w14:paraId="2C4DCC9C">
      <w:pPr>
        <w:pStyle w:val="4"/>
        <w:rPr>
          <w:rFonts w:eastAsia="楷体"/>
          <w:b/>
          <w:sz w:val="32"/>
          <w:szCs w:val="32"/>
        </w:rPr>
      </w:pPr>
      <w:r>
        <w:rPr>
          <w:rFonts w:hint="eastAsia" w:eastAsia="仿宋"/>
          <w:sz w:val="32"/>
          <w:szCs w:val="32"/>
          <w:lang w:val="en-US" w:eastAsia="zh-CN"/>
        </w:rPr>
        <w:t>3.</w:t>
      </w:r>
      <w:r>
        <w:rPr>
          <w:rFonts w:hint="eastAsia" w:eastAsia="仿宋"/>
          <w:sz w:val="32"/>
          <w:szCs w:val="32"/>
        </w:rPr>
        <w:t>对个人和家庭补助支出5</w:t>
      </w:r>
      <w:r>
        <w:rPr>
          <w:rFonts w:hint="eastAsia" w:eastAsia="仿宋"/>
          <w:sz w:val="32"/>
          <w:szCs w:val="32"/>
          <w:lang w:val="en-US" w:eastAsia="zh-CN"/>
        </w:rPr>
        <w:t>92.58</w:t>
      </w:r>
      <w:r>
        <w:rPr>
          <w:rFonts w:hint="eastAsia" w:eastAsia="仿宋"/>
          <w:sz w:val="32"/>
          <w:szCs w:val="32"/>
        </w:rPr>
        <w:t>万元，占总支出的1</w:t>
      </w:r>
      <w:r>
        <w:rPr>
          <w:rFonts w:hint="eastAsia" w:eastAsia="仿宋"/>
          <w:sz w:val="32"/>
          <w:szCs w:val="32"/>
          <w:lang w:val="en-US" w:eastAsia="zh-CN"/>
        </w:rPr>
        <w:t>2.6</w:t>
      </w:r>
      <w:r>
        <w:rPr>
          <w:rFonts w:hint="eastAsia" w:eastAsia="仿宋"/>
          <w:sz w:val="32"/>
          <w:szCs w:val="32"/>
        </w:rPr>
        <w:t>%。主要包括医疗费补助、抚恤金、生活补助、助学金、202</w:t>
      </w:r>
      <w:r>
        <w:rPr>
          <w:rFonts w:hint="eastAsia" w:eastAsia="仿宋"/>
          <w:sz w:val="32"/>
          <w:szCs w:val="32"/>
          <w:lang w:val="en-US" w:eastAsia="zh-CN"/>
        </w:rPr>
        <w:t>3</w:t>
      </w:r>
      <w:r>
        <w:rPr>
          <w:rFonts w:hint="eastAsia" w:eastAsia="仿宋"/>
          <w:sz w:val="32"/>
          <w:szCs w:val="32"/>
        </w:rPr>
        <w:t>年度教育教学成果奖励及其他对个人和家庭的补助等。</w:t>
      </w:r>
    </w:p>
    <w:p w14:paraId="20C2E184">
      <w:pPr>
        <w:pStyle w:val="4"/>
        <w:widowControl/>
        <w:ind w:firstLine="643"/>
        <w:rPr>
          <w:rFonts w:eastAsia="楷体"/>
          <w:b/>
          <w:sz w:val="32"/>
          <w:szCs w:val="32"/>
        </w:rPr>
      </w:pPr>
      <w:r>
        <w:rPr>
          <w:rFonts w:eastAsia="楷体"/>
          <w:b/>
          <w:sz w:val="32"/>
          <w:szCs w:val="32"/>
        </w:rPr>
        <w:t>（二）项目支出情况</w:t>
      </w:r>
    </w:p>
    <w:p w14:paraId="7BF60B59">
      <w:pPr>
        <w:widowControl/>
        <w:ind w:firstLine="640" w:firstLineChars="200"/>
        <w:rPr>
          <w:rFonts w:ascii="Times New Roman" w:hAnsi="Times New Roman" w:eastAsia="仿宋"/>
          <w:sz w:val="32"/>
          <w:szCs w:val="32"/>
        </w:rPr>
      </w:pPr>
      <w:r>
        <w:rPr>
          <w:rFonts w:hint="eastAsia" w:eastAsia="仿宋"/>
          <w:sz w:val="32"/>
          <w:szCs w:val="32"/>
        </w:rPr>
        <w:t>202</w:t>
      </w:r>
      <w:r>
        <w:rPr>
          <w:rFonts w:hint="eastAsia" w:eastAsia="仿宋"/>
          <w:sz w:val="32"/>
          <w:szCs w:val="32"/>
          <w:lang w:val="en-US" w:eastAsia="zh-CN"/>
        </w:rPr>
        <w:t>4</w:t>
      </w:r>
      <w:r>
        <w:rPr>
          <w:rFonts w:hint="eastAsia" w:eastAsia="仿宋"/>
          <w:sz w:val="32"/>
          <w:szCs w:val="32"/>
        </w:rPr>
        <w:t>年度项目资金支出</w:t>
      </w:r>
      <w:r>
        <w:rPr>
          <w:rFonts w:hint="eastAsia" w:eastAsia="仿宋"/>
          <w:sz w:val="32"/>
          <w:szCs w:val="32"/>
          <w:lang w:val="en-US" w:eastAsia="zh-CN"/>
        </w:rPr>
        <w:t>1250.35</w:t>
      </w:r>
      <w:r>
        <w:rPr>
          <w:rFonts w:hint="eastAsia" w:eastAsia="仿宋"/>
          <w:sz w:val="32"/>
          <w:szCs w:val="32"/>
        </w:rPr>
        <w:t>万元，</w:t>
      </w:r>
      <w:r>
        <w:rPr>
          <w:rFonts w:eastAsia="仿宋"/>
          <w:sz w:val="32"/>
          <w:szCs w:val="32"/>
        </w:rPr>
        <w:t>其中：</w:t>
      </w:r>
      <w:r>
        <w:rPr>
          <w:rFonts w:hint="eastAsia" w:eastAsia="仿宋"/>
          <w:sz w:val="32"/>
          <w:szCs w:val="32"/>
        </w:rPr>
        <w:t>商品及服务支出</w:t>
      </w:r>
      <w:r>
        <w:rPr>
          <w:rFonts w:hint="eastAsia" w:eastAsia="仿宋"/>
          <w:sz w:val="32"/>
          <w:szCs w:val="32"/>
          <w:lang w:val="en-US" w:eastAsia="zh-CN"/>
        </w:rPr>
        <w:t>584.65</w:t>
      </w:r>
      <w:r>
        <w:rPr>
          <w:rFonts w:hint="eastAsia" w:eastAsia="仿宋"/>
          <w:sz w:val="32"/>
          <w:szCs w:val="32"/>
        </w:rPr>
        <w:t>万元，资本性支出</w:t>
      </w:r>
      <w:r>
        <w:rPr>
          <w:rFonts w:hint="eastAsia" w:eastAsia="仿宋"/>
          <w:sz w:val="32"/>
          <w:szCs w:val="32"/>
          <w:lang w:val="en-US" w:eastAsia="zh-CN"/>
        </w:rPr>
        <w:t>665.7</w:t>
      </w:r>
      <w:r>
        <w:rPr>
          <w:rFonts w:hint="eastAsia" w:eastAsia="仿宋"/>
          <w:sz w:val="32"/>
          <w:szCs w:val="32"/>
        </w:rPr>
        <w:t>万元</w:t>
      </w:r>
      <w:r>
        <w:rPr>
          <w:rFonts w:hint="eastAsia" w:eastAsia="仿宋"/>
          <w:sz w:val="32"/>
          <w:szCs w:val="32"/>
          <w:lang w:eastAsia="zh-CN"/>
        </w:rPr>
        <w:t>（</w:t>
      </w:r>
      <w:r>
        <w:rPr>
          <w:rFonts w:hint="eastAsia" w:eastAsia="仿宋"/>
          <w:sz w:val="32"/>
          <w:szCs w:val="32"/>
        </w:rPr>
        <w:t>包括</w:t>
      </w:r>
      <w:r>
        <w:rPr>
          <w:rFonts w:hint="eastAsia" w:eastAsia="仿宋"/>
          <w:sz w:val="32"/>
          <w:szCs w:val="32"/>
          <w:lang w:eastAsia="zh-CN"/>
        </w:rPr>
        <w:t>：</w:t>
      </w:r>
      <w:r>
        <w:rPr>
          <w:rFonts w:hint="eastAsia" w:eastAsia="仿宋"/>
          <w:sz w:val="32"/>
          <w:szCs w:val="32"/>
        </w:rPr>
        <w:t>新建女生公寓</w:t>
      </w:r>
      <w:r>
        <w:rPr>
          <w:rFonts w:hint="eastAsia" w:eastAsia="仿宋"/>
          <w:sz w:val="32"/>
          <w:szCs w:val="32"/>
          <w:lang w:val="en-US" w:eastAsia="zh-CN"/>
        </w:rPr>
        <w:t>239</w:t>
      </w:r>
      <w:r>
        <w:rPr>
          <w:rFonts w:hint="eastAsia" w:eastAsia="仿宋"/>
          <w:sz w:val="32"/>
          <w:szCs w:val="32"/>
        </w:rPr>
        <w:t>万元，</w:t>
      </w:r>
      <w:r>
        <w:rPr>
          <w:rFonts w:hint="eastAsia" w:eastAsia="仿宋"/>
          <w:sz w:val="32"/>
          <w:szCs w:val="32"/>
          <w:lang w:val="en-US" w:eastAsia="zh-CN"/>
        </w:rPr>
        <w:t>教师公租房95.7</w:t>
      </w:r>
      <w:r>
        <w:rPr>
          <w:rFonts w:hint="eastAsia" w:eastAsia="仿宋"/>
          <w:sz w:val="32"/>
          <w:szCs w:val="32"/>
        </w:rPr>
        <w:t>万元，</w:t>
      </w:r>
      <w:r>
        <w:rPr>
          <w:rFonts w:hint="eastAsia" w:eastAsia="仿宋"/>
          <w:sz w:val="32"/>
          <w:szCs w:val="32"/>
          <w:lang w:val="en-US" w:eastAsia="zh-CN"/>
        </w:rPr>
        <w:t>第一、二、三教学楼改造331</w:t>
      </w:r>
      <w:r>
        <w:rPr>
          <w:rFonts w:hint="eastAsia" w:eastAsia="仿宋"/>
          <w:sz w:val="32"/>
          <w:szCs w:val="32"/>
        </w:rPr>
        <w:t>万元</w:t>
      </w:r>
      <w:r>
        <w:rPr>
          <w:rFonts w:hint="eastAsia" w:eastAsia="仿宋"/>
          <w:sz w:val="32"/>
          <w:szCs w:val="32"/>
          <w:lang w:eastAsia="zh-CN"/>
        </w:rPr>
        <w:t>）</w:t>
      </w:r>
      <w:r>
        <w:rPr>
          <w:rFonts w:hint="eastAsia" w:eastAsia="仿宋"/>
          <w:sz w:val="32"/>
          <w:szCs w:val="32"/>
        </w:rPr>
        <w:t>。</w:t>
      </w:r>
    </w:p>
    <w:p w14:paraId="6ECA42B0">
      <w:pPr>
        <w:widowControl/>
        <w:ind w:firstLine="640" w:firstLineChars="200"/>
        <w:rPr>
          <w:rFonts w:ascii="Times New Roman" w:hAnsi="Times New Roman" w:eastAsia="仿宋"/>
          <w:sz w:val="32"/>
          <w:szCs w:val="32"/>
        </w:rPr>
      </w:pPr>
      <w:r>
        <w:rPr>
          <w:rFonts w:ascii="Times New Roman" w:hAnsi="Times New Roman" w:eastAsia="仿宋"/>
          <w:sz w:val="32"/>
          <w:szCs w:val="32"/>
        </w:rPr>
        <w:t>两方面：一是202</w:t>
      </w:r>
      <w:r>
        <w:rPr>
          <w:rFonts w:hint="eastAsia" w:ascii="Times New Roman" w:hAnsi="Times New Roman" w:eastAsia="仿宋"/>
          <w:sz w:val="32"/>
          <w:szCs w:val="32"/>
          <w:lang w:val="en-US" w:eastAsia="zh-CN"/>
        </w:rPr>
        <w:t>4</w:t>
      </w:r>
      <w:r>
        <w:rPr>
          <w:rFonts w:ascii="Times New Roman" w:hAnsi="Times New Roman" w:eastAsia="仿宋"/>
          <w:sz w:val="32"/>
          <w:szCs w:val="32"/>
        </w:rPr>
        <w:t>年度专项资金安排和使用管理情况，有2个及以上专项资金的要分别总结基本情况。二是除专项资金以外的其他项目支出情况。</w:t>
      </w:r>
    </w:p>
    <w:p w14:paraId="1D25A1EB">
      <w:pPr>
        <w:pStyle w:val="4"/>
        <w:widowControl/>
        <w:ind w:firstLine="640"/>
        <w:rPr>
          <w:rFonts w:eastAsia="黑体"/>
          <w:sz w:val="32"/>
          <w:szCs w:val="32"/>
        </w:rPr>
      </w:pPr>
      <w:r>
        <w:rPr>
          <w:rFonts w:eastAsia="黑体"/>
          <w:sz w:val="32"/>
          <w:szCs w:val="32"/>
        </w:rPr>
        <w:t>三、政府性基金预算支出情况</w:t>
      </w:r>
    </w:p>
    <w:p w14:paraId="3DFD21E2">
      <w:pPr>
        <w:pStyle w:val="4"/>
        <w:rPr>
          <w:rFonts w:eastAsia="黑体"/>
          <w:sz w:val="32"/>
          <w:szCs w:val="32"/>
        </w:rPr>
      </w:pPr>
      <w:r>
        <w:rPr>
          <w:rFonts w:hint="eastAsia" w:ascii="仿宋" w:hAnsi="仿宋" w:eastAsia="仿宋"/>
          <w:sz w:val="32"/>
          <w:szCs w:val="32"/>
          <w:shd w:val="clear" w:color="auto" w:fill="FFFFFF"/>
        </w:rPr>
        <w:t>202</w:t>
      </w:r>
      <w:r>
        <w:rPr>
          <w:rFonts w:hint="eastAsia" w:ascii="仿宋" w:hAnsi="仿宋" w:eastAsia="仿宋"/>
          <w:sz w:val="32"/>
          <w:szCs w:val="32"/>
          <w:shd w:val="clear" w:color="auto" w:fill="FFFFFF"/>
          <w:lang w:val="en-US" w:eastAsia="zh-CN"/>
        </w:rPr>
        <w:t>4</w:t>
      </w:r>
      <w:r>
        <w:rPr>
          <w:rFonts w:hint="eastAsia" w:ascii="仿宋" w:hAnsi="仿宋" w:eastAsia="仿宋"/>
          <w:sz w:val="32"/>
          <w:szCs w:val="32"/>
          <w:shd w:val="clear" w:color="auto" w:fill="FFFFFF"/>
        </w:rPr>
        <w:t>年度政府性基金预算财政拨款收入0万元；年初结转和结余0万元；支出0万元，其中基本支出0万元，项目支出0万元；年末结转和结余0万元。</w:t>
      </w:r>
    </w:p>
    <w:p w14:paraId="38A3F234">
      <w:pPr>
        <w:pStyle w:val="4"/>
        <w:widowControl/>
        <w:ind w:firstLine="640"/>
        <w:rPr>
          <w:rFonts w:eastAsia="黑体"/>
          <w:sz w:val="32"/>
          <w:szCs w:val="32"/>
        </w:rPr>
      </w:pPr>
      <w:r>
        <w:rPr>
          <w:rFonts w:eastAsia="黑体"/>
          <w:sz w:val="32"/>
          <w:szCs w:val="32"/>
        </w:rPr>
        <w:t>四、国有资本经营预算支出情况</w:t>
      </w:r>
    </w:p>
    <w:p w14:paraId="02C51BAA">
      <w:pPr>
        <w:pStyle w:val="4"/>
        <w:widowControl/>
        <w:ind w:firstLine="640"/>
        <w:rPr>
          <w:rFonts w:eastAsia="黑体"/>
          <w:sz w:val="32"/>
          <w:szCs w:val="32"/>
        </w:rPr>
      </w:pPr>
      <w:r>
        <w:rPr>
          <w:rFonts w:hint="eastAsia" w:ascii="仿宋" w:hAnsi="仿宋" w:eastAsia="仿宋"/>
          <w:sz w:val="32"/>
          <w:szCs w:val="32"/>
          <w:shd w:val="clear" w:color="auto" w:fill="FFFFFF"/>
        </w:rPr>
        <w:t>202</w:t>
      </w:r>
      <w:r>
        <w:rPr>
          <w:rFonts w:hint="eastAsia" w:ascii="仿宋" w:hAnsi="仿宋" w:eastAsia="仿宋"/>
          <w:sz w:val="32"/>
          <w:szCs w:val="32"/>
          <w:shd w:val="clear" w:color="auto" w:fill="FFFFFF"/>
          <w:lang w:val="en-US" w:eastAsia="zh-CN"/>
        </w:rPr>
        <w:t>4</w:t>
      </w:r>
      <w:r>
        <w:rPr>
          <w:rFonts w:hint="eastAsia" w:ascii="仿宋" w:hAnsi="仿宋" w:eastAsia="仿宋"/>
          <w:sz w:val="32"/>
          <w:szCs w:val="32"/>
          <w:shd w:val="clear" w:color="auto" w:fill="FFFFFF"/>
        </w:rPr>
        <w:t>年度国有资本经营预算财政拨款收入0万元；年初结转和结余0万元；支出0万元，其中基本支出0万元，项目支出0万元；年末结转和结余0万元。</w:t>
      </w:r>
    </w:p>
    <w:p w14:paraId="4050B12A">
      <w:pPr>
        <w:pStyle w:val="4"/>
        <w:widowControl/>
        <w:ind w:firstLine="640"/>
        <w:rPr>
          <w:rFonts w:eastAsia="黑体"/>
          <w:sz w:val="32"/>
          <w:szCs w:val="32"/>
        </w:rPr>
      </w:pPr>
      <w:r>
        <w:rPr>
          <w:rFonts w:eastAsia="黑体"/>
          <w:sz w:val="32"/>
          <w:szCs w:val="32"/>
        </w:rPr>
        <w:t>五、社会保险基金预算支出情况</w:t>
      </w:r>
    </w:p>
    <w:p w14:paraId="023624B5">
      <w:pPr>
        <w:widowControl/>
        <w:ind w:firstLine="640" w:firstLineChars="200"/>
        <w:rPr>
          <w:rFonts w:ascii="Times New Roman" w:hAnsi="Times New Roman" w:eastAsia="黑体"/>
          <w:sz w:val="32"/>
          <w:szCs w:val="32"/>
        </w:rPr>
      </w:pPr>
      <w:r>
        <w:rPr>
          <w:rFonts w:hint="eastAsia" w:ascii="仿宋" w:hAnsi="仿宋" w:eastAsia="仿宋"/>
          <w:sz w:val="32"/>
          <w:szCs w:val="32"/>
          <w:shd w:val="clear" w:color="auto" w:fill="FFFFFF"/>
        </w:rPr>
        <w:t>202</w:t>
      </w:r>
      <w:r>
        <w:rPr>
          <w:rFonts w:hint="eastAsia" w:ascii="仿宋" w:hAnsi="仿宋" w:eastAsia="仿宋"/>
          <w:sz w:val="32"/>
          <w:szCs w:val="32"/>
          <w:shd w:val="clear" w:color="auto" w:fill="FFFFFF"/>
          <w:lang w:val="en-US" w:eastAsia="zh-CN"/>
        </w:rPr>
        <w:t>4</w:t>
      </w:r>
      <w:r>
        <w:rPr>
          <w:rFonts w:hint="eastAsia" w:ascii="仿宋" w:hAnsi="仿宋" w:eastAsia="仿宋"/>
          <w:sz w:val="32"/>
          <w:szCs w:val="32"/>
          <w:shd w:val="clear" w:color="auto" w:fill="FFFFFF"/>
        </w:rPr>
        <w:t>年度社会保险基金预算财政拨款收入0万元；年初结转和结余0万元；支出0万元，其中基本支出0万元，项目支出0万元；年末结转和结余0万元。</w:t>
      </w:r>
    </w:p>
    <w:p w14:paraId="207793C3">
      <w:pPr>
        <w:widowControl/>
        <w:ind w:firstLine="640" w:firstLineChars="200"/>
        <w:rPr>
          <w:rFonts w:ascii="Times New Roman" w:hAnsi="Times New Roman" w:eastAsia="黑体"/>
          <w:sz w:val="32"/>
          <w:szCs w:val="32"/>
        </w:rPr>
      </w:pPr>
      <w:r>
        <w:rPr>
          <w:rFonts w:ascii="Times New Roman" w:hAnsi="Times New Roman" w:eastAsia="黑体"/>
          <w:sz w:val="32"/>
          <w:szCs w:val="32"/>
        </w:rPr>
        <w:t>六、部门整体支出绩效情况</w:t>
      </w:r>
    </w:p>
    <w:p w14:paraId="063A6418">
      <w:pPr>
        <w:widowControl/>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总结归纳本部门“四本预算”支出的绩效目标完成情况，实现产出和取得效益的情况。围绕部门职责、行业发展规划，以预算资金管理为主线，总结部门资产管理和开展业务情况，从运行成本、管理效率、履职效能、社会效应、可持续发展能力和服务对象满意度等方面，衡量部门整体及核心业务实施效果。</w:t>
      </w:r>
    </w:p>
    <w:p w14:paraId="1BD03C65">
      <w:pPr>
        <w:widowControl/>
        <w:ind w:firstLine="640" w:firstLineChars="200"/>
        <w:rPr>
          <w:rFonts w:ascii="Times New Roman" w:hAnsi="Times New Roman" w:eastAsia="仿宋"/>
          <w:sz w:val="32"/>
          <w:szCs w:val="32"/>
        </w:rPr>
      </w:pPr>
      <w:r>
        <w:rPr>
          <w:rFonts w:hint="eastAsia" w:ascii="Times New Roman" w:hAnsi="Times New Roman" w:eastAsia="仿宋"/>
          <w:sz w:val="32"/>
          <w:szCs w:val="32"/>
        </w:rPr>
        <w:t>1.202</w:t>
      </w:r>
      <w:r>
        <w:rPr>
          <w:rFonts w:hint="eastAsia" w:ascii="Times New Roman" w:hAnsi="Times New Roman" w:eastAsia="仿宋"/>
          <w:sz w:val="32"/>
          <w:szCs w:val="32"/>
          <w:lang w:val="en-US" w:eastAsia="zh-CN"/>
        </w:rPr>
        <w:t>4</w:t>
      </w:r>
      <w:r>
        <w:rPr>
          <w:rFonts w:hint="eastAsia" w:ascii="Times New Roman" w:hAnsi="Times New Roman" w:eastAsia="仿宋"/>
          <w:sz w:val="32"/>
          <w:szCs w:val="32"/>
        </w:rPr>
        <w:t>年度在衡阳市委、市政府、市教育局的正确领导下，学校以提高教育教学质量为中心，充分发挥财政资金使用效率，确保各项计划和任务的顺利完成，使得学校的各项工作再上新台阶。</w:t>
      </w:r>
    </w:p>
    <w:p w14:paraId="1EA9A877">
      <w:pPr>
        <w:widowControl/>
        <w:ind w:firstLine="640" w:firstLineChars="200"/>
        <w:rPr>
          <w:rFonts w:ascii="Times New Roman" w:hAnsi="Times New Roman" w:eastAsia="仿宋"/>
          <w:sz w:val="32"/>
          <w:szCs w:val="32"/>
        </w:rPr>
      </w:pPr>
      <w:r>
        <w:rPr>
          <w:rFonts w:hint="eastAsia" w:ascii="Times New Roman" w:hAnsi="Times New Roman" w:eastAsia="仿宋"/>
          <w:sz w:val="32"/>
          <w:szCs w:val="32"/>
        </w:rPr>
        <w:t>根据市政府202</w:t>
      </w:r>
      <w:r>
        <w:rPr>
          <w:rFonts w:hint="eastAsia" w:ascii="Times New Roman" w:hAnsi="Times New Roman" w:eastAsia="仿宋"/>
          <w:sz w:val="32"/>
          <w:szCs w:val="32"/>
          <w:lang w:val="en-US" w:eastAsia="zh-CN"/>
        </w:rPr>
        <w:t>4</w:t>
      </w:r>
      <w:r>
        <w:rPr>
          <w:rFonts w:hint="eastAsia" w:ascii="Times New Roman" w:hAnsi="Times New Roman" w:eastAsia="仿宋"/>
          <w:sz w:val="32"/>
          <w:szCs w:val="32"/>
        </w:rPr>
        <w:t>年部门预算编制要求，结合学校事业发展规划，实行积极的财政政策，努力争收，不断优化支出结构，按照人员经费按政策打足、内涵建设重点保障、公用经费不编列人员经费、压缩专项工作经费、合理安排不可预见费等原则，科学合理编制学校202</w:t>
      </w:r>
      <w:r>
        <w:rPr>
          <w:rFonts w:hint="eastAsia" w:ascii="Times New Roman" w:hAnsi="Times New Roman" w:eastAsia="仿宋"/>
          <w:sz w:val="32"/>
          <w:szCs w:val="32"/>
          <w:lang w:val="en-US" w:eastAsia="zh-CN"/>
        </w:rPr>
        <w:t>4</w:t>
      </w:r>
      <w:r>
        <w:rPr>
          <w:rFonts w:hint="eastAsia" w:ascii="Times New Roman" w:hAnsi="Times New Roman" w:eastAsia="仿宋"/>
          <w:sz w:val="32"/>
          <w:szCs w:val="32"/>
        </w:rPr>
        <w:t>年财务预算。</w:t>
      </w:r>
    </w:p>
    <w:p w14:paraId="6DB0926D">
      <w:pPr>
        <w:widowControl/>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2024年度</w:t>
      </w:r>
      <w:r>
        <w:rPr>
          <w:rFonts w:hint="eastAsia" w:ascii="Times New Roman" w:hAnsi="Times New Roman" w:eastAsia="仿宋"/>
          <w:sz w:val="32"/>
          <w:szCs w:val="32"/>
        </w:rPr>
        <w:t>学校各项日常工作进展顺利，取得很好的成效。按要求将绩效自评报告进行公开，同时按时向市财政局及上级相关部门报送自评报告。</w:t>
      </w:r>
    </w:p>
    <w:p w14:paraId="29EE5E74">
      <w:pPr>
        <w:widowControl/>
        <w:ind w:firstLine="640" w:firstLineChars="200"/>
        <w:rPr>
          <w:rFonts w:ascii="Times New Roman" w:hAnsi="Times New Roman" w:eastAsia="仿宋"/>
          <w:sz w:val="32"/>
          <w:szCs w:val="32"/>
        </w:rPr>
      </w:pPr>
      <w:r>
        <w:rPr>
          <w:rFonts w:hint="eastAsia" w:ascii="Times New Roman" w:hAnsi="Times New Roman" w:eastAsia="仿宋"/>
          <w:sz w:val="32"/>
          <w:szCs w:val="32"/>
        </w:rPr>
        <w:t>2.按照省、市财政专项资金管理办法，《中华人民共和国招标投标法》，及时修订了《衡阳市职业中等专业学校建设项目管理内部控制制度》和《衡阳市职业中等专业学校政府采购内部控制制度》，严格按照审批程序支付专项资金，严格管控建设成本和质量管控，加强支出审核控制，全面审核各类单据。财务人员认真审核财政预算报告书、工程项目合同、公开招标书、政府采购合同、财政结算报告书、验收报告等，再经教育局、财政局等有关部门审批签章后，方可到支付局办理支付手续。各项专项资金，做到了及时到位，专款专用，无截留、卡扣、占用和挪用等情况，财务制度健全，会计核算规范，支付依据合规。</w:t>
      </w:r>
    </w:p>
    <w:p w14:paraId="38AA4F8C">
      <w:pPr>
        <w:widowControl/>
        <w:ind w:firstLine="640" w:firstLineChars="200"/>
        <w:rPr>
          <w:rFonts w:ascii="Times New Roman" w:hAnsi="Times New Roman" w:eastAsia="仿宋"/>
          <w:sz w:val="32"/>
          <w:szCs w:val="32"/>
        </w:rPr>
      </w:pPr>
      <w:r>
        <w:rPr>
          <w:rFonts w:hint="eastAsia" w:ascii="Times New Roman" w:hAnsi="Times New Roman" w:eastAsia="仿宋"/>
          <w:sz w:val="32"/>
          <w:szCs w:val="32"/>
        </w:rPr>
        <w:t>3.资产管理情况。为加强我校财产管理，明确经济责任，保证资产的安全完整。根据上级要求，及时修订了《衡阳市职业中等专业学校国有资产管理内部控制制度》。学校严格按照财政部门制定的资产配置合理编制资产配置预算，对没有规定资产配置标准的，坚持厉行节约、从严控制的原则，对于预算配置内的资产，按照规定进行资产登记。对于报损资产严格执行国有资产处置制度，履行审批手续，规范处置行为。为防止国有资产流失，学校制定了详细的资产管理办法，对各类不同资产，均配有资产专管员，资产购置、管理和处置均由资产专管员按照规定进行申报，定期盘点，集中处置，确保资产，账账相符、账实相符。</w:t>
      </w:r>
    </w:p>
    <w:p w14:paraId="78BA8BAB">
      <w:pPr>
        <w:widowControl/>
        <w:ind w:firstLine="640" w:firstLineChars="200"/>
        <w:rPr>
          <w:rFonts w:ascii="Times New Roman" w:hAnsi="Times New Roman" w:eastAsia="仿宋"/>
          <w:sz w:val="32"/>
          <w:szCs w:val="32"/>
        </w:rPr>
      </w:pPr>
      <w:r>
        <w:rPr>
          <w:rFonts w:hint="eastAsia" w:ascii="Times New Roman" w:hAnsi="Times New Roman" w:eastAsia="仿宋"/>
          <w:sz w:val="32"/>
          <w:szCs w:val="32"/>
        </w:rPr>
        <w:t>4.项目绩效情况</w:t>
      </w:r>
    </w:p>
    <w:p w14:paraId="278D08D9">
      <w:pPr>
        <w:widowControl/>
        <w:ind w:firstLine="640" w:firstLineChars="200"/>
        <w:rPr>
          <w:rFonts w:ascii="Times New Roman" w:hAnsi="Times New Roman" w:eastAsia="仿宋"/>
          <w:sz w:val="32"/>
          <w:szCs w:val="32"/>
        </w:rPr>
      </w:pPr>
      <w:r>
        <w:rPr>
          <w:rFonts w:hint="eastAsia" w:ascii="Times New Roman" w:hAnsi="Times New Roman" w:eastAsia="仿宋"/>
          <w:sz w:val="32"/>
          <w:szCs w:val="32"/>
        </w:rPr>
        <w:t>（1）项目的实施进度</w:t>
      </w:r>
    </w:p>
    <w:p w14:paraId="68992BB2">
      <w:pPr>
        <w:widowControl/>
        <w:ind w:firstLine="640" w:firstLineChars="200"/>
        <w:rPr>
          <w:rFonts w:ascii="Times New Roman" w:hAnsi="Times New Roman" w:eastAsia="仿宋"/>
          <w:sz w:val="32"/>
          <w:szCs w:val="32"/>
        </w:rPr>
      </w:pPr>
      <w:r>
        <w:rPr>
          <w:rFonts w:hint="eastAsia" w:ascii="Times New Roman" w:hAnsi="Times New Roman" w:eastAsia="仿宋"/>
          <w:sz w:val="32"/>
          <w:szCs w:val="32"/>
        </w:rPr>
        <w:t>本年度，为推进湖南省楚怡双优中职学校建设，不断改善学校的办学条件，完成了新建女生公寓工程的建设、</w:t>
      </w:r>
      <w:r>
        <w:rPr>
          <w:rFonts w:hint="eastAsia" w:ascii="Times New Roman" w:hAnsi="Times New Roman" w:eastAsia="仿宋"/>
          <w:sz w:val="32"/>
          <w:szCs w:val="32"/>
          <w:lang w:val="en-US" w:eastAsia="zh-CN"/>
        </w:rPr>
        <w:t>教师公租房项目及第一、二、三教学楼改造</w:t>
      </w:r>
      <w:r>
        <w:rPr>
          <w:rFonts w:hint="eastAsia" w:ascii="Times New Roman" w:hAnsi="Times New Roman" w:eastAsia="仿宋"/>
          <w:sz w:val="32"/>
          <w:szCs w:val="32"/>
        </w:rPr>
        <w:t>等工作。严格按照项目建设实施方案执行，建设进度安排合理、可行，工作重点突出，配套设备能按申报计划到位，特别是关键设备购置能按建设计划和要求及时执行落实。</w:t>
      </w:r>
    </w:p>
    <w:p w14:paraId="572E34B6">
      <w:pPr>
        <w:widowControl/>
        <w:ind w:firstLine="640" w:firstLineChars="200"/>
        <w:rPr>
          <w:rFonts w:ascii="Times New Roman" w:hAnsi="Times New Roman" w:eastAsia="仿宋"/>
          <w:sz w:val="32"/>
          <w:szCs w:val="32"/>
        </w:rPr>
      </w:pPr>
      <w:r>
        <w:rPr>
          <w:rFonts w:hint="eastAsia" w:ascii="Times New Roman" w:hAnsi="Times New Roman" w:eastAsia="仿宋"/>
          <w:sz w:val="32"/>
          <w:szCs w:val="32"/>
        </w:rPr>
        <w:t>（2）项目完成质量</w:t>
      </w:r>
    </w:p>
    <w:p w14:paraId="22A91D49">
      <w:pPr>
        <w:widowControl/>
        <w:ind w:firstLine="640" w:firstLineChars="200"/>
        <w:rPr>
          <w:rFonts w:ascii="Times New Roman" w:hAnsi="Times New Roman" w:eastAsia="仿宋"/>
          <w:sz w:val="32"/>
          <w:szCs w:val="32"/>
        </w:rPr>
      </w:pPr>
      <w:r>
        <w:rPr>
          <w:rFonts w:hint="eastAsia" w:ascii="Times New Roman" w:hAnsi="Times New Roman" w:eastAsia="仿宋"/>
          <w:sz w:val="32"/>
          <w:szCs w:val="32"/>
        </w:rPr>
        <w:t>一是仪器设备的固定资产账、物、卡相符率达到100%。二是基础设施建设与先期招投标规划设计相符率达100%。</w:t>
      </w:r>
    </w:p>
    <w:p w14:paraId="4CD533F7">
      <w:pPr>
        <w:widowControl/>
        <w:ind w:firstLine="640" w:firstLineChars="200"/>
        <w:rPr>
          <w:rFonts w:ascii="Times New Roman" w:hAnsi="Times New Roman" w:eastAsia="仿宋"/>
          <w:sz w:val="32"/>
          <w:szCs w:val="32"/>
        </w:rPr>
      </w:pPr>
      <w:r>
        <w:rPr>
          <w:rFonts w:hint="eastAsia" w:ascii="Times New Roman" w:hAnsi="Times New Roman" w:eastAsia="仿宋"/>
          <w:sz w:val="32"/>
          <w:szCs w:val="32"/>
        </w:rPr>
        <w:t>（3）项目的效益性分析</w:t>
      </w:r>
    </w:p>
    <w:p w14:paraId="2A375848">
      <w:pPr>
        <w:widowControl/>
        <w:ind w:firstLine="640" w:firstLineChars="200"/>
        <w:rPr>
          <w:rFonts w:ascii="Times New Roman" w:hAnsi="Times New Roman" w:eastAsia="仿宋"/>
          <w:sz w:val="32"/>
          <w:szCs w:val="32"/>
        </w:rPr>
      </w:pPr>
      <w:r>
        <w:rPr>
          <w:rFonts w:hint="eastAsia" w:ascii="Times New Roman" w:hAnsi="Times New Roman" w:eastAsia="仿宋"/>
          <w:sz w:val="32"/>
          <w:szCs w:val="32"/>
        </w:rPr>
        <w:t>一是有力的改善我校的办学条件设施，经过学校科学统筹、精心规划、规范采购，使学校办学条件得到极大改善，为湖南省双优中职学校建设及重点专业建设、课程建设、师资队伍建设提供了坚实保障，为莘莘学子搭建良好的学习平台、为国家培养更多的行业技能人才。</w:t>
      </w:r>
    </w:p>
    <w:p w14:paraId="28429BEC">
      <w:pPr>
        <w:widowControl/>
        <w:ind w:firstLine="640" w:firstLineChars="200"/>
        <w:rPr>
          <w:rFonts w:ascii="Times New Roman" w:hAnsi="Times New Roman" w:eastAsia="仿宋"/>
          <w:sz w:val="32"/>
          <w:szCs w:val="32"/>
        </w:rPr>
      </w:pPr>
      <w:r>
        <w:rPr>
          <w:rFonts w:hint="eastAsia" w:ascii="Times New Roman" w:hAnsi="Times New Roman" w:eastAsia="仿宋"/>
          <w:sz w:val="32"/>
          <w:szCs w:val="32"/>
        </w:rPr>
        <w:t>二是为了满足教学和实训及技能竞赛的要求，添置了相关的教学实训专用设备。专业设施的建设使学生掌握新知识、新工艺和新方法，为学生技能的提高及适应时代发展的要求打下坚实基础；学校教学质量的稳步提升，特别是学生参加国家、省、市级技能竞赛成绩突出，明显增强了学校的吸引力和知名度，对学校进一步扩大办学规模，提高服务区域经济建设能力的作用是显著的。</w:t>
      </w:r>
    </w:p>
    <w:p w14:paraId="1E647771">
      <w:pPr>
        <w:widowControl/>
        <w:ind w:firstLine="640" w:firstLineChars="200"/>
        <w:rPr>
          <w:rFonts w:ascii="Times New Roman" w:hAnsi="Times New Roman" w:eastAsia="仿宋"/>
          <w:sz w:val="32"/>
          <w:szCs w:val="32"/>
        </w:rPr>
      </w:pPr>
      <w:r>
        <w:rPr>
          <w:rFonts w:hint="eastAsia" w:ascii="Times New Roman" w:hAnsi="Times New Roman" w:eastAsia="仿宋"/>
          <w:sz w:val="32"/>
          <w:szCs w:val="32"/>
        </w:rPr>
        <w:t>三是通过组织教师参加国家级和省级各类培训学习，使他们在专业教学、专业实践、顶岗实习指导以及信息技术应用等方面的业务素质有明显提升，通过引进专业教师开展校本培训，大力开展专业教学改革，编写专业校本教材，选派教师下企业培训和业务培训，教师教学水平将得到有效提升，教育教学质量将大幅提高。</w:t>
      </w:r>
    </w:p>
    <w:p w14:paraId="20C426AA">
      <w:pPr>
        <w:widowControl/>
        <w:ind w:firstLine="640" w:firstLineChars="200"/>
        <w:rPr>
          <w:rFonts w:eastAsia="黑体"/>
          <w:sz w:val="32"/>
          <w:szCs w:val="32"/>
        </w:rPr>
      </w:pPr>
      <w:r>
        <w:rPr>
          <w:rFonts w:hint="eastAsia" w:ascii="Times New Roman" w:hAnsi="Times New Roman" w:eastAsia="仿宋"/>
          <w:sz w:val="32"/>
          <w:szCs w:val="32"/>
        </w:rPr>
        <w:t>四是实现和发挥了学校示范引领作用。学校已成为衡阳技能型人才培养的主阵地、输送技能人才的主渠道、招工培训的主市场。</w:t>
      </w:r>
    </w:p>
    <w:p w14:paraId="61DC15F5">
      <w:pPr>
        <w:pStyle w:val="4"/>
        <w:widowControl/>
        <w:ind w:firstLine="640"/>
        <w:rPr>
          <w:rFonts w:eastAsia="黑体"/>
          <w:sz w:val="32"/>
          <w:szCs w:val="32"/>
        </w:rPr>
      </w:pPr>
      <w:r>
        <w:rPr>
          <w:rFonts w:eastAsia="黑体"/>
          <w:sz w:val="32"/>
          <w:szCs w:val="32"/>
        </w:rPr>
        <w:t>七、存在的问题及原因分析</w:t>
      </w:r>
    </w:p>
    <w:p w14:paraId="157F5D66">
      <w:pPr>
        <w:pStyle w:val="4"/>
        <w:widowControl/>
        <w:ind w:firstLine="640"/>
        <w:rPr>
          <w:rFonts w:eastAsia="仿宋"/>
          <w:sz w:val="32"/>
          <w:szCs w:val="32"/>
        </w:rPr>
      </w:pPr>
      <w:r>
        <w:rPr>
          <w:rFonts w:eastAsia="仿宋"/>
          <w:sz w:val="32"/>
          <w:szCs w:val="32"/>
        </w:rPr>
        <w:t>主要反映各种</w:t>
      </w:r>
      <w:r>
        <w:rPr>
          <w:rFonts w:eastAsia="仿宋"/>
          <w:color w:val="000000"/>
          <w:sz w:val="32"/>
          <w:szCs w:val="32"/>
        </w:rPr>
        <w:t>预算支出执行偏离绩效目标的情况，</w:t>
      </w:r>
      <w:r>
        <w:rPr>
          <w:rFonts w:eastAsia="仿宋"/>
          <w:sz w:val="32"/>
          <w:szCs w:val="32"/>
        </w:rPr>
        <w:t>并分</w:t>
      </w:r>
    </w:p>
    <w:p w14:paraId="0873730B">
      <w:pPr>
        <w:pStyle w:val="4"/>
        <w:widowControl/>
        <w:ind w:firstLine="419" w:firstLineChars="131"/>
        <w:rPr>
          <w:rFonts w:eastAsia="黑体"/>
          <w:sz w:val="32"/>
          <w:szCs w:val="32"/>
        </w:rPr>
      </w:pPr>
      <w:r>
        <w:rPr>
          <w:rFonts w:eastAsia="仿宋"/>
          <w:sz w:val="32"/>
          <w:szCs w:val="32"/>
        </w:rPr>
        <w:t>析其原因。</w:t>
      </w:r>
    </w:p>
    <w:p w14:paraId="5BA5E6AA">
      <w:pPr>
        <w:pStyle w:val="4"/>
        <w:rPr>
          <w:rFonts w:ascii="Times New Roman" w:hAnsi="Times New Roman" w:eastAsia="黑体"/>
          <w:sz w:val="32"/>
          <w:szCs w:val="32"/>
        </w:rPr>
      </w:pPr>
      <w:r>
        <w:rPr>
          <w:rFonts w:hint="eastAsia" w:eastAsia="仿宋"/>
          <w:sz w:val="32"/>
          <w:szCs w:val="32"/>
        </w:rPr>
        <w:t>我校虽然取得了一些成绩，实现了健康快速发展。但与现代职业教育要求相比，仍存在很大差距。学校基础能力建设比较薄弱，内涵建设相对滞后。基本支出占学校总支出的比例较高。项目建设需要的资金投入太大，从而导致专项资金在安排过程中难以突出重点，仅能对部分项目建设做出适当补助，难以发挥出专项资金的最大效益。</w:t>
      </w:r>
    </w:p>
    <w:p w14:paraId="232B67DE">
      <w:pPr>
        <w:widowControl/>
        <w:ind w:firstLine="640" w:firstLineChars="200"/>
        <w:rPr>
          <w:rFonts w:ascii="Times New Roman" w:hAnsi="Times New Roman" w:eastAsia="黑体"/>
          <w:sz w:val="32"/>
          <w:szCs w:val="32"/>
        </w:rPr>
      </w:pPr>
      <w:r>
        <w:rPr>
          <w:rFonts w:ascii="Times New Roman" w:hAnsi="Times New Roman" w:eastAsia="黑体"/>
          <w:sz w:val="32"/>
          <w:szCs w:val="32"/>
        </w:rPr>
        <w:t>八、下一步改进措施</w:t>
      </w:r>
    </w:p>
    <w:p w14:paraId="05D8A352">
      <w:pPr>
        <w:widowControl/>
        <w:spacing w:line="60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1.加强预算编制学习，科学合理的编制预算，</w:t>
      </w:r>
      <w:r>
        <w:rPr>
          <w:rFonts w:ascii="仿宋_GB2312" w:hAnsi="黑体" w:eastAsia="仿宋_GB2312"/>
          <w:sz w:val="32"/>
          <w:szCs w:val="32"/>
        </w:rPr>
        <w:t>严格执行预算</w:t>
      </w:r>
      <w:r>
        <w:rPr>
          <w:rFonts w:hint="eastAsia" w:ascii="仿宋_GB2312" w:hAnsi="黑体" w:eastAsia="仿宋_GB2312"/>
          <w:sz w:val="32"/>
          <w:szCs w:val="32"/>
        </w:rPr>
        <w:t>。</w:t>
      </w:r>
      <w:r>
        <w:rPr>
          <w:rFonts w:ascii="仿宋_GB2312" w:hAnsi="黑体" w:eastAsia="仿宋_GB2312"/>
          <w:sz w:val="32"/>
          <w:szCs w:val="32"/>
        </w:rPr>
        <w:t>加强预算编制的前瞻性，按照新</w:t>
      </w:r>
      <w:r>
        <w:rPr>
          <w:rFonts w:hint="eastAsia" w:ascii="仿宋_GB2312" w:hAnsi="黑体" w:eastAsia="仿宋_GB2312"/>
          <w:sz w:val="32"/>
          <w:szCs w:val="32"/>
          <w:lang w:eastAsia="zh-CN"/>
        </w:rPr>
        <w:t>《中华人民共和国预算法》</w:t>
      </w:r>
      <w:r>
        <w:rPr>
          <w:rFonts w:ascii="仿宋_GB2312" w:hAnsi="黑体" w:eastAsia="仿宋_GB2312"/>
          <w:sz w:val="32"/>
          <w:szCs w:val="32"/>
        </w:rPr>
        <w:t>及其实施条例的相关规定，按政策规定及本部门的发展规划，结合上一年度预算执行情况和本年度预算收支变化因素，科学、合理地编制本年预算草案，避免项目支出与基本支出划分不准或预算支出与实际执行出现较大偏差的情况，执行中确需调整预算的，按规定程序报经批准。进一步明确项目目标，根据目标要求，加大项目前期工作力度，做实项目实施方案。</w:t>
      </w:r>
      <w:r>
        <w:rPr>
          <w:rFonts w:hint="eastAsia" w:ascii="仿宋_GB2312" w:hAnsi="黑体" w:eastAsia="仿宋_GB2312"/>
          <w:sz w:val="32"/>
          <w:szCs w:val="32"/>
        </w:rPr>
        <w:t>根据预算合理支出，从而控制预算完成率；努力学习预算制度，更加合理地编制预算，使预算、决算差异更小，</w:t>
      </w:r>
      <w:r>
        <w:rPr>
          <w:rFonts w:ascii="仿宋_GB2312" w:hAnsi="黑体" w:eastAsia="仿宋_GB2312"/>
          <w:sz w:val="32"/>
          <w:szCs w:val="32"/>
        </w:rPr>
        <w:t>努力提高预算执行效果</w:t>
      </w:r>
      <w:r>
        <w:rPr>
          <w:rFonts w:hint="eastAsia" w:ascii="仿宋_GB2312" w:hAnsi="黑体" w:eastAsia="仿宋_GB2312"/>
          <w:sz w:val="32"/>
          <w:szCs w:val="32"/>
        </w:rPr>
        <w:t>，</w:t>
      </w:r>
      <w:r>
        <w:rPr>
          <w:rFonts w:ascii="仿宋_GB2312" w:hAnsi="黑体" w:eastAsia="仿宋_GB2312"/>
          <w:sz w:val="32"/>
          <w:szCs w:val="32"/>
        </w:rPr>
        <w:t>切实提高部门预算收支管理水平。</w:t>
      </w:r>
    </w:p>
    <w:p w14:paraId="62FE2D25">
      <w:pPr>
        <w:widowControl/>
        <w:spacing w:line="60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2.进一步完善各项管理制度，以制度保障规范有序运转，</w:t>
      </w:r>
      <w:r>
        <w:rPr>
          <w:rFonts w:ascii="仿宋_GB2312" w:hAnsi="黑体" w:eastAsia="仿宋_GB2312"/>
          <w:sz w:val="32"/>
          <w:szCs w:val="32"/>
        </w:rPr>
        <w:t>进一步加强资产管理。建立本部门“三公经费”等公务支出管理制度及厉行节约制度，加强经费审批和控制，规范支出标准与范围，并严格执行。严格按照《固定资产管理办法》的规定加强固定资产管理，及时登记、更新台账，加强资产卡片管理，年终前对各类实物资产进行全面盘点，确保账账、账实相符。</w:t>
      </w:r>
    </w:p>
    <w:p w14:paraId="4C16D2A9">
      <w:pPr>
        <w:widowControl/>
        <w:spacing w:line="60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3.对该项目绩效自评情况进行及时整理、归纳、分析，将其作为下年度资金分配的依据，绩效报告按规定公开。</w:t>
      </w:r>
    </w:p>
    <w:p w14:paraId="229C7EA7">
      <w:pPr>
        <w:widowControl/>
        <w:spacing w:line="60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4.</w:t>
      </w:r>
      <w:r>
        <w:rPr>
          <w:rFonts w:hint="eastAsia" w:ascii="仿宋" w:hAnsi="仿宋" w:eastAsia="仿宋"/>
          <w:sz w:val="32"/>
          <w:szCs w:val="32"/>
          <w:shd w:val="clear" w:color="auto" w:fill="FFFFFF"/>
        </w:rPr>
        <w:t>进一步加大招生宣传力度，加强专业建设，改善办学条件，配套完备的设备设施。进一步加大教师的培训力度，提高教师的专业知识和教育教学水平，更好地为教育教学服务。</w:t>
      </w:r>
    </w:p>
    <w:p w14:paraId="34FCEAE5">
      <w:pPr>
        <w:widowControl/>
        <w:spacing w:line="600" w:lineRule="exact"/>
        <w:ind w:firstLine="640" w:firstLineChars="200"/>
        <w:jc w:val="left"/>
        <w:rPr>
          <w:rFonts w:ascii="Times New Roman" w:hAnsi="Times New Roman" w:eastAsia="黑体"/>
          <w:sz w:val="32"/>
          <w:szCs w:val="32"/>
        </w:rPr>
      </w:pPr>
      <w:r>
        <w:rPr>
          <w:rFonts w:hint="eastAsia" w:ascii="仿宋_GB2312" w:hAnsi="黑体" w:eastAsia="仿宋_GB2312"/>
          <w:sz w:val="32"/>
          <w:szCs w:val="32"/>
        </w:rPr>
        <w:t>5.建议根据我校职业教育发展的现状与实际，积极争取专项资金，把技能型人才培养需要与实训室建设有机结合。另外，建议政府在财力不断增长的情况下，逐年追加职业教育发展专项资金。</w:t>
      </w:r>
    </w:p>
    <w:p w14:paraId="1533AAD5">
      <w:pPr>
        <w:widowControl/>
        <w:ind w:firstLine="640" w:firstLineChars="200"/>
        <w:rPr>
          <w:rFonts w:ascii="黑体" w:hAnsi="黑体" w:eastAsia="黑体" w:cs="黑体"/>
          <w:kern w:val="0"/>
          <w:sz w:val="32"/>
          <w:szCs w:val="32"/>
        </w:rPr>
      </w:pPr>
      <w:r>
        <w:rPr>
          <w:rFonts w:ascii="Times New Roman" w:hAnsi="Times New Roman" w:eastAsia="黑体"/>
          <w:sz w:val="32"/>
          <w:szCs w:val="32"/>
        </w:rPr>
        <w:t>九、其他需要说明的情况</w:t>
      </w:r>
    </w:p>
    <w:p w14:paraId="7234420A">
      <w:pPr>
        <w:rPr>
          <w:rFonts w:hint="eastAsia"/>
          <w:sz w:val="32"/>
          <w:szCs w:val="32"/>
          <w:lang w:val="en-US" w:eastAsia="zh-CN"/>
        </w:rPr>
      </w:pPr>
      <w:r>
        <w:rPr>
          <w:rFonts w:hint="eastAsia"/>
          <w:sz w:val="32"/>
          <w:szCs w:val="32"/>
          <w:lang w:val="en-US" w:eastAsia="zh-CN"/>
        </w:rPr>
        <w:t>无。</w:t>
      </w:r>
    </w:p>
    <w:p w14:paraId="133AE299">
      <w:pPr>
        <w:rPr>
          <w:rFonts w:hint="eastAsia"/>
          <w:sz w:val="32"/>
          <w:szCs w:val="32"/>
          <w:lang w:val="en-US" w:eastAsia="zh-CN"/>
        </w:rPr>
      </w:pPr>
    </w:p>
    <w:p w14:paraId="3FAD51BA">
      <w:pPr>
        <w:widowControl/>
        <w:spacing w:line="600" w:lineRule="exact"/>
        <w:ind w:firstLine="4480" w:firstLineChars="1400"/>
        <w:jc w:val="left"/>
        <w:rPr>
          <w:rFonts w:ascii="仿宋_GB2312" w:hAnsi="黑体" w:eastAsia="仿宋_GB2312"/>
          <w:sz w:val="32"/>
          <w:szCs w:val="32"/>
        </w:rPr>
      </w:pPr>
      <w:r>
        <w:rPr>
          <w:rFonts w:hint="eastAsia" w:ascii="仿宋_GB2312" w:hAnsi="黑体" w:eastAsia="仿宋_GB2312"/>
          <w:sz w:val="32"/>
          <w:szCs w:val="32"/>
        </w:rPr>
        <w:t>衡阳市职业中等专业学校</w:t>
      </w:r>
    </w:p>
    <w:p w14:paraId="53ABAAD9">
      <w:pPr>
        <w:ind w:right="640"/>
        <w:rPr>
          <w:rFonts w:ascii="黑体" w:hAnsi="黑体" w:eastAsia="黑体" w:cs="黑体"/>
          <w:kern w:val="0"/>
          <w:sz w:val="32"/>
          <w:szCs w:val="32"/>
        </w:rPr>
      </w:pPr>
      <w:r>
        <w:rPr>
          <w:rFonts w:hint="eastAsia" w:ascii="仿宋_GB2312" w:hAnsi="黑体" w:eastAsia="仿宋_GB2312"/>
          <w:sz w:val="32"/>
          <w:szCs w:val="32"/>
        </w:rPr>
        <w:t xml:space="preserve">                               202</w:t>
      </w:r>
      <w:r>
        <w:rPr>
          <w:rFonts w:hint="eastAsia" w:ascii="仿宋_GB2312" w:hAnsi="黑体" w:eastAsia="仿宋_GB2312"/>
          <w:sz w:val="32"/>
          <w:szCs w:val="32"/>
          <w:lang w:val="en-US" w:eastAsia="zh-CN"/>
        </w:rPr>
        <w:t>5</w:t>
      </w:r>
      <w:r>
        <w:rPr>
          <w:rFonts w:hint="eastAsia" w:ascii="仿宋_GB2312" w:hAnsi="黑体" w:eastAsia="仿宋_GB2312"/>
          <w:sz w:val="32"/>
          <w:szCs w:val="32"/>
        </w:rPr>
        <w:t>年</w:t>
      </w:r>
      <w:r>
        <w:rPr>
          <w:rFonts w:hint="eastAsia" w:ascii="仿宋_GB2312" w:hAnsi="黑体" w:eastAsia="仿宋_GB2312"/>
          <w:sz w:val="32"/>
          <w:szCs w:val="32"/>
          <w:lang w:val="en-US" w:eastAsia="zh-CN"/>
        </w:rPr>
        <w:t>2</w:t>
      </w:r>
      <w:r>
        <w:rPr>
          <w:rFonts w:hint="eastAsia" w:ascii="仿宋_GB2312" w:hAnsi="黑体" w:eastAsia="仿宋_GB2312"/>
          <w:sz w:val="32"/>
          <w:szCs w:val="32"/>
        </w:rPr>
        <w:t>月2</w:t>
      </w:r>
      <w:r>
        <w:rPr>
          <w:rFonts w:hint="eastAsia" w:ascii="仿宋_GB2312" w:hAnsi="黑体" w:eastAsia="仿宋_GB2312"/>
          <w:sz w:val="32"/>
          <w:szCs w:val="32"/>
          <w:lang w:val="en-US" w:eastAsia="zh-CN"/>
        </w:rPr>
        <w:t>6</w:t>
      </w:r>
      <w:r>
        <w:rPr>
          <w:rFonts w:hint="eastAsia" w:ascii="仿宋_GB2312" w:hAnsi="黑体" w:eastAsia="仿宋_GB2312"/>
          <w:sz w:val="32"/>
          <w:szCs w:val="32"/>
        </w:rPr>
        <w:t>日</w:t>
      </w:r>
    </w:p>
    <w:p w14:paraId="3180E1EC">
      <w:pPr>
        <w:rPr>
          <w:rFonts w:hint="eastAsia"/>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79122A"/>
    <w:rsid w:val="08326ACF"/>
    <w:rsid w:val="1AC75B46"/>
    <w:rsid w:val="21082321"/>
    <w:rsid w:val="30E808F4"/>
    <w:rsid w:val="3979122A"/>
    <w:rsid w:val="44400885"/>
    <w:rsid w:val="515720D8"/>
    <w:rsid w:val="5220026A"/>
    <w:rsid w:val="59176EB9"/>
    <w:rsid w:val="5BB661F5"/>
    <w:rsid w:val="731F72A1"/>
    <w:rsid w:val="74A34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4065</Words>
  <Characters>4207</Characters>
  <Lines>0</Lines>
  <Paragraphs>0</Paragraphs>
  <TotalTime>1051</TotalTime>
  <ScaleCrop>false</ScaleCrop>
  <LinksUpToDate>false</LinksUpToDate>
  <CharactersWithSpaces>4240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2025-02-26T05:14:00Z</dcterms:created>
  <dc:creator>leon</dc:creator>
  <cp:lastModifiedBy>邓婷</cp:lastModifiedBy>
  <cp:lastPrinted>2025-02-28T00:51:00Z</cp:lastPrinted>
  <dcterms:modified xsi:type="dcterms:W3CDTF">2025-10-17T01:07:29Z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E4AEF20AF11147A08078FA4CCDA3D043_11</vt:lpwstr>
  </property>
  <property fmtid="{D5CDD505-2E9C-101B-9397-08002B2CF9AE}" pid="4" name="KSOTemplateDocerSaveRecord">
    <vt:lpwstr>eyJoZGlkIjoiN2Y2YTkzM2Q3ZjFmZDA3MzYxZmZlNThiZjdiNmYxNGYiLCJ1c2VySWQiOiIxMDY5MjgzMDcxIn0=</vt:lpwstr>
  </property>
</Properties>
</file>