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F2BFD">
      <w:pPr>
        <w:widowControl/>
        <w:jc w:val="center"/>
        <w:rPr>
          <w:rFonts w:ascii="Times New Roman" w:hAnsi="Times New Roman" w:eastAsia="仿宋_GB2312"/>
          <w:kern w:val="0"/>
          <w:sz w:val="32"/>
          <w:szCs w:val="32"/>
        </w:rPr>
      </w:pPr>
    </w:p>
    <w:p w14:paraId="4C78A503">
      <w:pPr>
        <w:pStyle w:val="12"/>
        <w:rPr>
          <w:rFonts w:ascii="Times New Roman" w:hAnsi="Times New Roman" w:eastAsia="仿宋_GB2312"/>
          <w:kern w:val="0"/>
          <w:sz w:val="32"/>
          <w:szCs w:val="32"/>
        </w:rPr>
      </w:pPr>
    </w:p>
    <w:p w14:paraId="783A8673">
      <w:pPr>
        <w:pStyle w:val="12"/>
        <w:rPr>
          <w:rFonts w:ascii="Times New Roman" w:hAnsi="Times New Roman" w:eastAsia="仿宋_GB2312"/>
          <w:kern w:val="0"/>
          <w:sz w:val="32"/>
          <w:szCs w:val="32"/>
        </w:rPr>
      </w:pPr>
    </w:p>
    <w:p w14:paraId="0546ED81">
      <w:pPr>
        <w:jc w:val="center"/>
        <w:rPr>
          <w:rFonts w:ascii="Times New Roman" w:hAnsi="Times New Roman" w:eastAsia="方正小标宋简体"/>
          <w:sz w:val="48"/>
          <w:szCs w:val="48"/>
        </w:rPr>
      </w:pPr>
      <w:r>
        <w:rPr>
          <w:rFonts w:ascii="Times New Roman" w:hAnsi="Times New Roman" w:eastAsia="方正小标宋简体"/>
          <w:sz w:val="48"/>
          <w:szCs w:val="48"/>
        </w:rPr>
        <w:t>部门整体支出绩效自评报告</w:t>
      </w:r>
    </w:p>
    <w:p w14:paraId="267538E1">
      <w:pPr>
        <w:jc w:val="center"/>
        <w:rPr>
          <w:rFonts w:hint="eastAsia" w:ascii="Times New Roman" w:hAnsi="Times New Roman" w:eastAsia="方正小标宋简体"/>
          <w:sz w:val="36"/>
          <w:szCs w:val="36"/>
          <w:lang w:eastAsia="zh-CN"/>
        </w:rPr>
      </w:pPr>
      <w:r>
        <w:rPr>
          <w:rFonts w:hint="eastAsia" w:ascii="Times New Roman" w:hAnsi="Times New Roman" w:eastAsia="方正小标宋简体"/>
          <w:sz w:val="36"/>
          <w:szCs w:val="36"/>
          <w:lang w:eastAsia="zh-CN"/>
        </w:rPr>
        <w:t>（</w:t>
      </w:r>
      <w:r>
        <w:rPr>
          <w:rFonts w:ascii="Times New Roman" w:hAnsi="Times New Roman" w:eastAsia="方正小标宋简体"/>
          <w:sz w:val="36"/>
          <w:szCs w:val="36"/>
        </w:rPr>
        <w:t>20</w:t>
      </w:r>
      <w:r>
        <w:rPr>
          <w:rFonts w:hint="eastAsia" w:ascii="Times New Roman" w:hAnsi="Times New Roman" w:eastAsia="方正小标宋简体"/>
          <w:sz w:val="36"/>
          <w:szCs w:val="36"/>
          <w:lang w:val="en-US" w:eastAsia="zh-CN"/>
        </w:rPr>
        <w:t>24</w:t>
      </w:r>
      <w:r>
        <w:rPr>
          <w:rFonts w:ascii="Times New Roman" w:hAnsi="Times New Roman" w:eastAsia="方正小标宋简体"/>
          <w:sz w:val="36"/>
          <w:szCs w:val="36"/>
        </w:rPr>
        <w:t>年度</w:t>
      </w:r>
      <w:r>
        <w:rPr>
          <w:rFonts w:hint="eastAsia" w:ascii="Times New Roman" w:hAnsi="Times New Roman" w:eastAsia="方正小标宋简体"/>
          <w:sz w:val="36"/>
          <w:szCs w:val="36"/>
          <w:lang w:eastAsia="zh-CN"/>
        </w:rPr>
        <w:t>）</w:t>
      </w:r>
    </w:p>
    <w:p w14:paraId="72E7AC8D">
      <w:pPr>
        <w:jc w:val="center"/>
        <w:rPr>
          <w:rFonts w:ascii="Times New Roman" w:hAnsi="Times New Roman" w:eastAsia="黑体"/>
          <w:sz w:val="32"/>
          <w:szCs w:val="32"/>
        </w:rPr>
      </w:pPr>
    </w:p>
    <w:p w14:paraId="65A91E08">
      <w:pPr>
        <w:jc w:val="center"/>
        <w:rPr>
          <w:rFonts w:ascii="Times New Roman" w:hAnsi="Times New Roman" w:eastAsia="黑体"/>
          <w:sz w:val="32"/>
          <w:szCs w:val="32"/>
        </w:rPr>
      </w:pPr>
    </w:p>
    <w:p w14:paraId="48782FA5">
      <w:pPr>
        <w:jc w:val="center"/>
        <w:rPr>
          <w:rFonts w:hint="eastAsia" w:ascii="Times New Roman" w:hAnsi="Times New Roman" w:eastAsia="黑体"/>
          <w:sz w:val="32"/>
          <w:szCs w:val="32"/>
          <w:lang w:eastAsia="zh-CN"/>
        </w:rPr>
      </w:pPr>
    </w:p>
    <w:p w14:paraId="4AF1DA3C">
      <w:pPr>
        <w:jc w:val="center"/>
        <w:rPr>
          <w:rFonts w:ascii="Times New Roman" w:hAnsi="Times New Roman" w:eastAsia="黑体"/>
          <w:sz w:val="32"/>
          <w:szCs w:val="32"/>
        </w:rPr>
      </w:pPr>
    </w:p>
    <w:p w14:paraId="068F5217">
      <w:pPr>
        <w:rPr>
          <w:rFonts w:ascii="Times New Roman" w:hAnsi="Times New Roman" w:eastAsia="黑体"/>
          <w:sz w:val="32"/>
          <w:szCs w:val="32"/>
        </w:rPr>
      </w:pPr>
    </w:p>
    <w:p w14:paraId="1533E07B">
      <w:pPr>
        <w:pStyle w:val="12"/>
        <w:rPr>
          <w:rFonts w:ascii="Times New Roman" w:hAnsi="Times New Roman" w:eastAsia="黑体"/>
          <w:sz w:val="32"/>
          <w:szCs w:val="32"/>
        </w:rPr>
      </w:pPr>
    </w:p>
    <w:p w14:paraId="749EB78F">
      <w:pPr>
        <w:pStyle w:val="12"/>
        <w:rPr>
          <w:rFonts w:ascii="Times New Roman" w:hAnsi="Times New Roman" w:eastAsia="黑体"/>
          <w:sz w:val="32"/>
          <w:szCs w:val="32"/>
        </w:rPr>
      </w:pPr>
    </w:p>
    <w:p w14:paraId="74BA2968">
      <w:pPr>
        <w:jc w:val="center"/>
        <w:rPr>
          <w:rFonts w:ascii="Times New Roman" w:hAnsi="Times New Roman"/>
          <w:sz w:val="36"/>
          <w:szCs w:val="36"/>
        </w:rPr>
      </w:pPr>
    </w:p>
    <w:p w14:paraId="4B4929B1">
      <w:pPr>
        <w:jc w:val="center"/>
        <w:rPr>
          <w:rFonts w:ascii="Times New Roman" w:hAnsi="Times New Roman"/>
          <w:sz w:val="36"/>
          <w:szCs w:val="36"/>
        </w:rPr>
      </w:pPr>
    </w:p>
    <w:p w14:paraId="7B1A5F09">
      <w:pPr>
        <w:pStyle w:val="12"/>
        <w:rPr>
          <w:rFonts w:ascii="Times New Roman" w:hAnsi="Times New Roman"/>
          <w:sz w:val="36"/>
          <w:szCs w:val="36"/>
        </w:rPr>
      </w:pPr>
    </w:p>
    <w:p w14:paraId="54A9F4D4">
      <w:pPr>
        <w:pStyle w:val="12"/>
        <w:rPr>
          <w:rFonts w:ascii="Times New Roman" w:hAnsi="Times New Roman"/>
          <w:sz w:val="36"/>
          <w:szCs w:val="36"/>
        </w:rPr>
      </w:pPr>
    </w:p>
    <w:p w14:paraId="673FFF34">
      <w:pPr>
        <w:jc w:val="center"/>
        <w:rPr>
          <w:rFonts w:ascii="Times New Roman" w:hAnsi="Times New Roman"/>
          <w:sz w:val="36"/>
          <w:szCs w:val="36"/>
        </w:rPr>
      </w:pPr>
    </w:p>
    <w:p w14:paraId="1C13A8F7">
      <w:pPr>
        <w:ind w:leftChars="800"/>
        <w:jc w:val="both"/>
        <w:rPr>
          <w:rFonts w:ascii="Times New Roman" w:hAnsi="Times New Roman"/>
          <w:sz w:val="36"/>
          <w:szCs w:val="36"/>
        </w:rPr>
      </w:pPr>
      <w:r>
        <w:rPr>
          <w:rFonts w:hint="eastAsia" w:ascii="Times New Roman" w:hAnsi="Times New Roman"/>
          <w:sz w:val="36"/>
          <w:szCs w:val="36"/>
          <w:lang w:val="en-US" w:eastAsia="zh-CN"/>
        </w:rPr>
        <w:t>衡阳市水运事务中心</w:t>
      </w:r>
      <w:r>
        <w:rPr>
          <w:rFonts w:hint="eastAsia" w:ascii="Times New Roman" w:hAnsi="Times New Roman"/>
          <w:sz w:val="36"/>
          <w:szCs w:val="36"/>
          <w:lang w:eastAsia="zh-CN"/>
        </w:rPr>
        <w:t>：（</w:t>
      </w:r>
      <w:r>
        <w:rPr>
          <w:rFonts w:hint="eastAsia" w:ascii="Times New Roman" w:hAnsi="Times New Roman"/>
          <w:sz w:val="36"/>
          <w:szCs w:val="36"/>
          <w:lang w:val="en-US" w:eastAsia="zh-CN"/>
        </w:rPr>
        <w:t>盖章</w:t>
      </w:r>
      <w:r>
        <w:rPr>
          <w:rFonts w:hint="eastAsia" w:ascii="Times New Roman" w:hAnsi="Times New Roman"/>
          <w:sz w:val="36"/>
          <w:szCs w:val="36"/>
          <w:lang w:eastAsia="zh-CN"/>
        </w:rPr>
        <w:t>）</w:t>
      </w:r>
    </w:p>
    <w:p w14:paraId="1A9EFC96">
      <w:pPr>
        <w:ind w:leftChars="800"/>
        <w:jc w:val="both"/>
        <w:rPr>
          <w:rFonts w:hint="default" w:ascii="Times New Roman" w:hAnsi="Times New Roman" w:eastAsia="宋体"/>
          <w:sz w:val="36"/>
          <w:szCs w:val="36"/>
          <w:lang w:val="en-US" w:eastAsia="zh-CN"/>
        </w:rPr>
      </w:pPr>
      <w:r>
        <w:rPr>
          <w:rFonts w:hint="eastAsia" w:ascii="Times New Roman" w:hAnsi="Times New Roman"/>
          <w:sz w:val="36"/>
          <w:szCs w:val="36"/>
          <w:lang w:val="en-US" w:eastAsia="zh-CN"/>
        </w:rPr>
        <w:t>主要负责人签字</w:t>
      </w:r>
      <w:r>
        <w:rPr>
          <w:rFonts w:ascii="Times New Roman" w:hAnsi="Times New Roman"/>
          <w:sz w:val="36"/>
          <w:szCs w:val="36"/>
        </w:rPr>
        <w:t>：</w:t>
      </w:r>
      <w:r>
        <w:rPr>
          <w:rFonts w:hint="eastAsia" w:ascii="Times New Roman" w:hAnsi="Times New Roman"/>
          <w:sz w:val="36"/>
          <w:szCs w:val="36"/>
          <w:lang w:val="en-US" w:eastAsia="zh-CN"/>
        </w:rPr>
        <w:t>庾文斌</w:t>
      </w:r>
    </w:p>
    <w:p w14:paraId="4A889916">
      <w:pPr>
        <w:jc w:val="center"/>
        <w:rPr>
          <w:rFonts w:ascii="Times New Roman" w:hAnsi="Times New Roman" w:eastAsia="黑体"/>
          <w:sz w:val="36"/>
          <w:szCs w:val="36"/>
        </w:rPr>
      </w:pPr>
    </w:p>
    <w:p w14:paraId="66E91D6B">
      <w:pPr>
        <w:pStyle w:val="12"/>
      </w:pPr>
    </w:p>
    <w:p w14:paraId="500F0E47">
      <w:pPr>
        <w:jc w:val="center"/>
        <w:rPr>
          <w:rFonts w:ascii="Times New Roman" w:hAnsi="Times New Roman" w:eastAsia="黑体"/>
          <w:sz w:val="32"/>
          <w:szCs w:val="32"/>
        </w:rPr>
      </w:pPr>
      <w:r>
        <w:rPr>
          <w:rFonts w:hint="eastAsia" w:ascii="Times New Roman" w:hAnsi="Times New Roman" w:eastAsia="黑体"/>
          <w:sz w:val="32"/>
          <w:szCs w:val="32"/>
          <w:lang w:val="en-US" w:eastAsia="zh-CN"/>
        </w:rPr>
        <w:t>2025</w:t>
      </w:r>
      <w:r>
        <w:rPr>
          <w:rFonts w:ascii="Times New Roman" w:hAnsi="Times New Roman" w:eastAsia="黑体"/>
          <w:sz w:val="32"/>
          <w:szCs w:val="32"/>
        </w:rPr>
        <w:t>年</w:t>
      </w:r>
      <w:r>
        <w:rPr>
          <w:rFonts w:hint="eastAsia" w:ascii="Times New Roman" w:hAnsi="Times New Roman" w:eastAsia="黑体"/>
          <w:sz w:val="32"/>
          <w:szCs w:val="32"/>
          <w:lang w:val="en-US" w:eastAsia="zh-CN"/>
        </w:rPr>
        <w:t>2</w:t>
      </w:r>
      <w:r>
        <w:rPr>
          <w:rFonts w:ascii="Times New Roman" w:hAnsi="Times New Roman" w:eastAsia="黑体"/>
          <w:sz w:val="32"/>
          <w:szCs w:val="32"/>
        </w:rPr>
        <w:t>月</w:t>
      </w:r>
      <w:r>
        <w:rPr>
          <w:rFonts w:hint="eastAsia" w:ascii="Times New Roman" w:hAnsi="Times New Roman" w:eastAsia="黑体"/>
          <w:sz w:val="32"/>
          <w:szCs w:val="32"/>
          <w:lang w:val="en-US" w:eastAsia="zh-CN"/>
        </w:rPr>
        <w:t>28</w:t>
      </w:r>
      <w:r>
        <w:rPr>
          <w:rFonts w:ascii="Times New Roman" w:hAnsi="Times New Roman" w:eastAsia="黑体"/>
          <w:sz w:val="32"/>
          <w:szCs w:val="32"/>
        </w:rPr>
        <w:t>日</w:t>
      </w:r>
    </w:p>
    <w:p w14:paraId="500FE65F">
      <w:pPr>
        <w:ind w:firstLine="640" w:firstLineChars="200"/>
        <w:jc w:val="both"/>
        <w:rPr>
          <w:rFonts w:hint="eastAsia" w:ascii="黑体" w:hAnsi="黑体" w:eastAsia="黑体" w:cs="黑体"/>
          <w:sz w:val="32"/>
          <w:szCs w:val="32"/>
        </w:rPr>
      </w:pPr>
      <w:r>
        <w:rPr>
          <w:rFonts w:hint="eastAsia" w:ascii="黑体" w:hAnsi="黑体" w:eastAsia="黑体" w:cs="黑体"/>
          <w:sz w:val="32"/>
          <w:szCs w:val="32"/>
          <w:lang w:val="en-US" w:eastAsia="zh-CN"/>
        </w:rPr>
        <w:t>一、单位基本情况</w:t>
      </w:r>
    </w:p>
    <w:p w14:paraId="07D9C2C3">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市水运事务中心为市交通运输局所属的副处级公益一类事业单位，主要负责全市水路运输、船舶检验和港航管理相关事务性工作。</w:t>
      </w:r>
      <w:r>
        <w:rPr>
          <w:rFonts w:hint="eastAsia" w:ascii="仿宋" w:hAnsi="仿宋" w:eastAsia="仿宋" w:cs="仿宋"/>
          <w:sz w:val="32"/>
          <w:szCs w:val="32"/>
        </w:rPr>
        <w:t>主要职责是：</w:t>
      </w:r>
    </w:p>
    <w:p w14:paraId="732500B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（一）贯彻</w:t>
      </w:r>
      <w:r>
        <w:rPr>
          <w:rFonts w:hint="eastAsia" w:ascii="仿宋" w:hAnsi="仿宋" w:eastAsia="仿宋" w:cs="仿宋"/>
          <w:sz w:val="32"/>
          <w:szCs w:val="32"/>
          <w:lang w:val="en-US" w:eastAsia="zh-CN"/>
        </w:rPr>
        <w:t>落实国家、省、市关于水路交通的方针政策和法律法规，参与拟订全市水路交通事务中长期发展规划和年度计划，并组织实施。</w:t>
      </w:r>
    </w:p>
    <w:p w14:paraId="6466714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（二）</w:t>
      </w:r>
      <w:r>
        <w:rPr>
          <w:rFonts w:hint="eastAsia" w:ascii="仿宋" w:hAnsi="仿宋" w:eastAsia="仿宋" w:cs="仿宋"/>
          <w:sz w:val="32"/>
          <w:szCs w:val="32"/>
          <w:lang w:val="en-US" w:eastAsia="zh-CN"/>
        </w:rPr>
        <w:t>负责全市船舶（含渔船）、水上设施和船运集装箱的监督检验工作。</w:t>
      </w:r>
    </w:p>
    <w:p w14:paraId="66C1559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（三）</w:t>
      </w:r>
      <w:r>
        <w:rPr>
          <w:rFonts w:hint="eastAsia" w:ascii="仿宋" w:hAnsi="仿宋" w:eastAsia="仿宋" w:cs="仿宋"/>
          <w:sz w:val="32"/>
          <w:szCs w:val="32"/>
          <w:lang w:val="en-US" w:eastAsia="zh-CN"/>
        </w:rPr>
        <w:t>负责水运行业科技工作，组织水路交通新技术、新工艺、新材料的推广应用。负责水路交通行业信息统计工作。</w:t>
      </w:r>
    </w:p>
    <w:p w14:paraId="5518C22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val="en-US" w:eastAsia="zh-CN"/>
        </w:rPr>
        <w:t>协助船舶登记、船员管理和船员考试发证相关事务性工作。</w:t>
      </w:r>
    </w:p>
    <w:p w14:paraId="010FEAD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负责全市水路运输和港口搬运装卸市场监管相关事务性工作。</w:t>
      </w:r>
    </w:p>
    <w:p w14:paraId="03083D3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水运事务中心设有综合科、财务计划科、组织人事科、安全法规科、船舶检验科、船舶船员科、水上运输科、港政科、航务科9个内设机构。现有在职人员38人，退休人员50人。</w:t>
      </w:r>
    </w:p>
    <w:p w14:paraId="316C8D51">
      <w:pPr>
        <w:ind w:firstLine="640" w:firstLineChars="200"/>
        <w:rPr>
          <w:rFonts w:hint="eastAsia" w:ascii="仿宋" w:hAnsi="仿宋" w:eastAsia="仿宋" w:cs="仿宋"/>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w:t>
      </w:r>
      <w:r>
        <w:rPr>
          <w:rFonts w:hint="eastAsia" w:ascii="黑体" w:hAnsi="黑体" w:eastAsia="黑体" w:cs="黑体"/>
          <w:sz w:val="32"/>
          <w:szCs w:val="32"/>
          <w:lang w:val="en-US" w:eastAsia="zh-CN"/>
        </w:rPr>
        <w:t>一般公共预算支出</w:t>
      </w:r>
      <w:r>
        <w:rPr>
          <w:rFonts w:hint="eastAsia" w:ascii="黑体" w:hAnsi="黑体" w:eastAsia="黑体" w:cs="黑体"/>
          <w:sz w:val="32"/>
          <w:szCs w:val="32"/>
        </w:rPr>
        <w:t>情况</w:t>
      </w:r>
    </w:p>
    <w:p w14:paraId="0A81EDF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基本支出情况</w:t>
      </w:r>
    </w:p>
    <w:p w14:paraId="4D37A13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2024年度一般公共预算基本支出1274.63万元，其中人员支出770万元，公用经费支出119.1万元，项目支出385.53万元。</w:t>
      </w:r>
    </w:p>
    <w:p w14:paraId="7D6618C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2024年度一般公共预算基本支出1274.63万元，其中社会保障和就业支出87.03万元，卫生健康支出63.78万元，交通运输支出1072.51万元，住房保障支出51.31万元。</w:t>
      </w:r>
    </w:p>
    <w:p w14:paraId="311B87D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(二）项目支出情况</w:t>
      </w:r>
    </w:p>
    <w:p w14:paraId="2DCACFBE">
      <w:pPr>
        <w:ind w:firstLine="600"/>
        <w:jc w:val="both"/>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2024年中心项目支出385.53万元，其中业务工作经费77.80万元，水上船舶垃圾接收、转运、处置费 148万元，水上船舶废油水和生活污水转运、处置费123.73万元，水上应急救援专项工作经费36万元。</w:t>
      </w:r>
    </w:p>
    <w:p w14:paraId="1FBA578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水上船舶垃圾接收、转运处置专项经费全年支出148万元（根据合同时间付款），</w:t>
      </w:r>
      <w:r>
        <w:rPr>
          <w:rFonts w:hint="eastAsia" w:ascii="仿宋_GB2312" w:hAnsi="仿宋_GB2312" w:eastAsia="仿宋_GB2312" w:cs="仿宋_GB2312"/>
          <w:sz w:val="32"/>
          <w:szCs w:val="40"/>
        </w:rPr>
        <w:t>建立完善了船舶污染物联单监管机制。</w:t>
      </w:r>
      <w:r>
        <w:rPr>
          <w:rFonts w:hint="eastAsia" w:ascii="仿宋_GB2312" w:hAnsi="仿宋_GB2312" w:eastAsia="仿宋_GB2312" w:cs="仿宋_GB2312"/>
          <w:sz w:val="32"/>
          <w:szCs w:val="40"/>
          <w:lang w:val="en-US" w:eastAsia="zh-CN"/>
        </w:rPr>
        <w:t>2024年</w:t>
      </w:r>
      <w:r>
        <w:rPr>
          <w:rFonts w:hint="eastAsia" w:ascii="仿宋_GB2312" w:hAnsi="仿宋_GB2312" w:eastAsia="仿宋_GB2312" w:cs="仿宋_GB2312"/>
          <w:sz w:val="32"/>
          <w:szCs w:val="32"/>
        </w:rPr>
        <w:t>共接收</w:t>
      </w:r>
      <w:r>
        <w:rPr>
          <w:rFonts w:hint="eastAsia" w:ascii="仿宋_GB2312" w:hAnsi="仿宋_GB2312" w:eastAsia="仿宋_GB2312" w:cs="仿宋_GB2312"/>
          <w:sz w:val="32"/>
          <w:szCs w:val="32"/>
          <w:lang w:eastAsia="zh-CN"/>
        </w:rPr>
        <w:t>、</w:t>
      </w:r>
      <w:r>
        <w:rPr>
          <w:rFonts w:hint="eastAsia" w:ascii="仿宋" w:hAnsi="仿宋" w:eastAsia="仿宋" w:cs="仿宋"/>
          <w:sz w:val="32"/>
          <w:szCs w:val="32"/>
          <w:lang w:val="en-US" w:eastAsia="zh-CN"/>
        </w:rPr>
        <w:t>转运</w:t>
      </w:r>
      <w:r>
        <w:rPr>
          <w:rFonts w:hint="eastAsia" w:ascii="仿宋_GB2312" w:hAnsi="仿宋_GB2312" w:eastAsia="仿宋_GB2312" w:cs="仿宋_GB2312"/>
          <w:sz w:val="32"/>
          <w:szCs w:val="32"/>
        </w:rPr>
        <w:t>处置船舶生活垃圾</w:t>
      </w:r>
      <w:r>
        <w:rPr>
          <w:rFonts w:hint="eastAsia" w:ascii="仿宋_GB2312" w:hAnsi="仿宋_GB2312" w:eastAsia="仿宋_GB2312" w:cs="仿宋_GB2312"/>
          <w:sz w:val="32"/>
          <w:szCs w:val="32"/>
          <w:lang w:val="en-US" w:eastAsia="zh-CN"/>
        </w:rPr>
        <w:t>224</w:t>
      </w:r>
      <w:r>
        <w:rPr>
          <w:rFonts w:hint="eastAsia" w:ascii="仿宋_GB2312" w:hAnsi="仿宋_GB2312" w:eastAsia="仿宋_GB2312" w:cs="仿宋_GB2312"/>
          <w:sz w:val="32"/>
          <w:szCs w:val="32"/>
        </w:rPr>
        <w:t>吨。</w:t>
      </w:r>
      <w:r>
        <w:rPr>
          <w:rFonts w:hint="eastAsia" w:ascii="仿宋" w:hAnsi="仿宋" w:eastAsia="仿宋" w:cs="仿宋"/>
          <w:sz w:val="32"/>
          <w:szCs w:val="32"/>
          <w:lang w:val="en-US" w:eastAsia="zh-CN"/>
        </w:rPr>
        <w:t>实现船舶污染物接收处置全覆盖，湘江流域水污染基本得到防治，打造了良好的水运生态环境。</w:t>
      </w:r>
    </w:p>
    <w:p w14:paraId="565CF5D5">
      <w:pPr>
        <w:ind w:firstLine="600"/>
        <w:jc w:val="both"/>
        <w:rPr>
          <w:rFonts w:hint="eastAsia" w:ascii="仿宋" w:hAnsi="仿宋" w:eastAsia="仿宋" w:cs="仿宋"/>
          <w:color w:val="000000"/>
          <w:kern w:val="0"/>
          <w:sz w:val="30"/>
          <w:szCs w:val="30"/>
          <w:lang w:eastAsia="zh-CN"/>
        </w:rPr>
      </w:pPr>
      <w:r>
        <w:rPr>
          <w:rFonts w:hint="eastAsia" w:ascii="仿宋" w:hAnsi="仿宋" w:eastAsia="仿宋" w:cs="仿宋"/>
          <w:sz w:val="30"/>
          <w:szCs w:val="30"/>
          <w:lang w:val="en-US" w:eastAsia="zh-CN"/>
        </w:rPr>
        <w:t>水上船舶废油水和生活污水转运、处置费支出123.73万元（根据合同时间付款），</w:t>
      </w:r>
      <w:r>
        <w:rPr>
          <w:rFonts w:hint="eastAsia" w:ascii="仿宋_GB2312" w:hAnsi="仿宋_GB2312" w:eastAsia="仿宋_GB2312" w:cs="仿宋_GB2312"/>
          <w:sz w:val="32"/>
          <w:szCs w:val="40"/>
          <w:lang w:val="en-US" w:eastAsia="zh-CN"/>
        </w:rPr>
        <w:t>2024年</w:t>
      </w:r>
      <w:r>
        <w:rPr>
          <w:rFonts w:hint="eastAsia" w:ascii="仿宋" w:hAnsi="仿宋" w:eastAsia="仿宋" w:cs="仿宋"/>
          <w:sz w:val="32"/>
          <w:szCs w:val="32"/>
          <w:lang w:val="en-US" w:eastAsia="zh-CN"/>
        </w:rPr>
        <w:t>转运、</w:t>
      </w:r>
      <w:r>
        <w:rPr>
          <w:rFonts w:hint="eastAsia" w:ascii="仿宋_GB2312" w:hAnsi="仿宋_GB2312" w:eastAsia="仿宋_GB2312" w:cs="仿宋_GB2312"/>
          <w:sz w:val="32"/>
          <w:szCs w:val="32"/>
        </w:rPr>
        <w:t>处置</w:t>
      </w:r>
      <w:r>
        <w:rPr>
          <w:rFonts w:hint="eastAsia" w:ascii="仿宋" w:hAnsi="仿宋" w:eastAsia="仿宋" w:cs="仿宋"/>
          <w:color w:val="000000"/>
          <w:kern w:val="0"/>
          <w:sz w:val="30"/>
          <w:szCs w:val="30"/>
          <w:lang w:eastAsia="zh-CN"/>
        </w:rPr>
        <w:t>水上船舶废油水和生活污水</w:t>
      </w:r>
      <w:r>
        <w:rPr>
          <w:rFonts w:hint="eastAsia" w:ascii="仿宋" w:hAnsi="仿宋" w:eastAsia="仿宋" w:cs="仿宋"/>
          <w:color w:val="000000"/>
          <w:kern w:val="0"/>
          <w:sz w:val="30"/>
          <w:szCs w:val="30"/>
        </w:rPr>
        <w:t>处置</w:t>
      </w:r>
      <w:r>
        <w:rPr>
          <w:rFonts w:hint="eastAsia" w:ascii="仿宋" w:hAnsi="仿宋" w:eastAsia="仿宋" w:cs="仿宋"/>
          <w:color w:val="000000"/>
          <w:kern w:val="0"/>
          <w:sz w:val="30"/>
          <w:szCs w:val="30"/>
          <w:lang w:val="en-US" w:eastAsia="zh-CN"/>
        </w:rPr>
        <w:t>485吨</w:t>
      </w:r>
      <w:r>
        <w:rPr>
          <w:rFonts w:hint="eastAsia" w:ascii="宋体" w:hAnsi="宋体" w:cs="宋体"/>
          <w:color w:val="000000"/>
          <w:kern w:val="0"/>
          <w:sz w:val="20"/>
          <w:szCs w:val="20"/>
          <w:lang w:val="en-US" w:eastAsia="zh-CN"/>
        </w:rPr>
        <w:t>，</w:t>
      </w:r>
      <w:r>
        <w:rPr>
          <w:rFonts w:hint="eastAsia" w:ascii="仿宋" w:hAnsi="仿宋" w:eastAsia="仿宋" w:cs="仿宋"/>
          <w:color w:val="000000"/>
          <w:kern w:val="0"/>
          <w:sz w:val="30"/>
          <w:szCs w:val="30"/>
        </w:rPr>
        <w:t>减少湘江流域上船舶</w:t>
      </w:r>
      <w:r>
        <w:rPr>
          <w:rFonts w:hint="eastAsia" w:ascii="仿宋" w:hAnsi="仿宋" w:eastAsia="仿宋" w:cs="仿宋"/>
          <w:color w:val="000000"/>
          <w:kern w:val="0"/>
          <w:sz w:val="30"/>
          <w:szCs w:val="30"/>
          <w:lang w:eastAsia="zh-CN"/>
        </w:rPr>
        <w:t>废油水和生活污水</w:t>
      </w:r>
      <w:r>
        <w:rPr>
          <w:rFonts w:hint="eastAsia" w:ascii="仿宋" w:hAnsi="仿宋" w:eastAsia="仿宋" w:cs="仿宋"/>
          <w:color w:val="000000"/>
          <w:kern w:val="0"/>
          <w:sz w:val="30"/>
          <w:szCs w:val="30"/>
        </w:rPr>
        <w:t>排放</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rPr>
        <w:t>维持水上环保清洁</w:t>
      </w:r>
      <w:r>
        <w:rPr>
          <w:rFonts w:hint="eastAsia" w:ascii="仿宋" w:hAnsi="仿宋" w:eastAsia="仿宋" w:cs="仿宋"/>
          <w:color w:val="000000"/>
          <w:kern w:val="0"/>
          <w:sz w:val="30"/>
          <w:szCs w:val="30"/>
          <w:lang w:eastAsia="zh-CN"/>
        </w:rPr>
        <w:t>。</w:t>
      </w:r>
    </w:p>
    <w:p w14:paraId="5939F283">
      <w:pPr>
        <w:ind w:firstLine="640" w:firstLineChars="200"/>
        <w:rPr>
          <w:rFonts w:hint="eastAsia" w:ascii="仿宋" w:hAnsi="仿宋" w:eastAsia="仿宋" w:cs="仿宋"/>
          <w:sz w:val="30"/>
          <w:szCs w:val="30"/>
        </w:rPr>
      </w:pPr>
      <w:r>
        <w:rPr>
          <w:rFonts w:hint="eastAsia" w:ascii="仿宋" w:hAnsi="仿宋" w:eastAsia="仿宋" w:cs="仿宋"/>
          <w:sz w:val="32"/>
          <w:szCs w:val="32"/>
          <w:lang w:val="en-US" w:eastAsia="zh-CN"/>
        </w:rPr>
        <w:t>水上应急救援专项工作经费36万元，该专项资金拨付给市水上应急救援队，在一定程度上弥补了该民间组织在经费上的短缺，在服务水上交通安全和应急救援工作中发挥了尖刀队作用。</w:t>
      </w:r>
      <w:r>
        <w:rPr>
          <w:rFonts w:hint="eastAsia" w:ascii="仿宋" w:hAnsi="仿宋" w:eastAsia="仿宋" w:cs="仿宋"/>
          <w:sz w:val="30"/>
          <w:szCs w:val="30"/>
        </w:rPr>
        <w:t>2024年市水上应急救援共出动队伍48次，搜救事故失踪、落水人员21人，救援抛锚船舶2次，封堵管涌1次，河水污染事件1次，转移居民楼被困群众180余人，衡阳市东洲岛风雨廊桥抢险1次，挽回经济损失</w:t>
      </w:r>
      <w:bookmarkStart w:id="0" w:name="_GoBack"/>
      <w:r>
        <w:rPr>
          <w:rFonts w:hint="eastAsia" w:ascii="仿宋" w:hAnsi="仿宋" w:eastAsia="仿宋" w:cs="仿宋"/>
          <w:sz w:val="30"/>
          <w:szCs w:val="30"/>
        </w:rPr>
        <w:t>近</w:t>
      </w:r>
      <w:bookmarkEnd w:id="0"/>
      <w:r>
        <w:rPr>
          <w:rFonts w:hint="eastAsia" w:ascii="仿宋" w:hAnsi="仿宋" w:eastAsia="仿宋" w:cs="仿宋"/>
          <w:sz w:val="30"/>
          <w:szCs w:val="30"/>
        </w:rPr>
        <w:t>1200万元，将人民生命及财产损失降到最低，维护了社会和谐和稳定。</w:t>
      </w:r>
    </w:p>
    <w:p w14:paraId="5FB1DBFA">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政府性基金预算支出情况</w:t>
      </w:r>
    </w:p>
    <w:p w14:paraId="3A464E7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2024年无</w:t>
      </w:r>
      <w:r>
        <w:rPr>
          <w:rFonts w:hint="eastAsia" w:ascii="仿宋" w:hAnsi="仿宋" w:eastAsia="仿宋" w:cs="仿宋"/>
          <w:sz w:val="32"/>
          <w:szCs w:val="32"/>
        </w:rPr>
        <w:t>政府性基金预算支出</w:t>
      </w:r>
    </w:p>
    <w:p w14:paraId="2AC499EE">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国有资本经营预算支出情况</w:t>
      </w:r>
    </w:p>
    <w:p w14:paraId="2CB60DC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2024年无</w:t>
      </w:r>
      <w:r>
        <w:rPr>
          <w:rFonts w:hint="eastAsia" w:ascii="仿宋" w:hAnsi="仿宋" w:eastAsia="仿宋" w:cs="仿宋"/>
          <w:sz w:val="32"/>
          <w:szCs w:val="32"/>
        </w:rPr>
        <w:t>国有资本经营预算支出</w:t>
      </w:r>
    </w:p>
    <w:p w14:paraId="79DBEECF">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社会保险基金预算支出情况</w:t>
      </w:r>
    </w:p>
    <w:p w14:paraId="0207FC4F">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2024年无</w:t>
      </w:r>
      <w:r>
        <w:rPr>
          <w:rFonts w:hint="eastAsia" w:ascii="仿宋" w:hAnsi="仿宋" w:eastAsia="仿宋" w:cs="仿宋"/>
          <w:sz w:val="32"/>
          <w:szCs w:val="32"/>
        </w:rPr>
        <w:t>社会保险基金预算支出</w:t>
      </w:r>
    </w:p>
    <w:p w14:paraId="2A1C84DC">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六、部门整体支出绩效情况</w:t>
      </w:r>
    </w:p>
    <w:p w14:paraId="106BB88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2024年在省中心和市交通运输局的坚强领导下，中心全体干部职工同心同力、埋头苦干、出色地完成了各项任务，确保了衡阳水运工作安全有序。</w:t>
      </w:r>
    </w:p>
    <w:p w14:paraId="3E16A8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b w:val="0"/>
          <w:bCs w:val="0"/>
          <w:sz w:val="32"/>
          <w:szCs w:val="32"/>
          <w:lang w:eastAsia="zh-CN"/>
        </w:rPr>
      </w:pPr>
      <w:r>
        <w:rPr>
          <w:rFonts w:hint="eastAsia" w:ascii="楷体_GB2312" w:hAnsi="楷体_GB2312" w:eastAsia="楷体_GB2312" w:cs="楷体_GB2312"/>
          <w:b/>
          <w:bCs/>
          <w:color w:val="auto"/>
          <w:kern w:val="2"/>
          <w:sz w:val="32"/>
          <w:szCs w:val="32"/>
          <w:lang w:val="en-US" w:eastAsia="zh-CN" w:bidi="ar-SA"/>
        </w:rPr>
        <w:t>（一）政治引领更加强化。</w:t>
      </w:r>
      <w:r>
        <w:rPr>
          <w:rFonts w:hint="eastAsia" w:ascii="仿宋_GB2312" w:hAnsi="仿宋_GB2312" w:eastAsia="仿宋_GB2312" w:cs="仿宋_GB2312"/>
          <w:b w:val="0"/>
          <w:bCs w:val="0"/>
          <w:sz w:val="32"/>
          <w:szCs w:val="32"/>
          <w:lang w:eastAsia="zh-CN"/>
        </w:rPr>
        <w:t>中心始终把政治引领放在工作首位，确保党员干部立场坚定，行为有戒。</w:t>
      </w:r>
      <w:r>
        <w:rPr>
          <w:rFonts w:hint="eastAsia" w:ascii="仿宋_GB2312" w:hAnsi="仿宋_GB2312" w:eastAsia="仿宋_GB2312" w:cs="仿宋_GB2312"/>
          <w:b/>
          <w:bCs/>
          <w:sz w:val="32"/>
          <w:szCs w:val="32"/>
          <w:lang w:eastAsia="zh-CN"/>
        </w:rPr>
        <w:t>一是强化理论学习。</w:t>
      </w:r>
      <w:r>
        <w:rPr>
          <w:rFonts w:hint="eastAsia" w:ascii="仿宋_GB2312" w:hAnsi="仿宋_GB2312" w:eastAsia="仿宋_GB2312" w:cs="仿宋_GB2312"/>
          <w:b w:val="0"/>
          <w:bCs w:val="0"/>
          <w:sz w:val="32"/>
          <w:szCs w:val="32"/>
          <w:lang w:eastAsia="zh-CN"/>
        </w:rPr>
        <w:t>以学习贯彻习近平新时代中国特色社会主义思想和党的二十届三中全会精神为主线，采取党委领头学、支部集中学、小组交流学等方式,结合“一月一课一片一实践”活动，把理论学习和推动工作有机融合、无缝对接，不断提升政治辨别力。通过系统的理论学习，全体党员干部更加坚定了“两个确立”和“两个维护”的政治定力</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lang w:val="en-US" w:eastAsia="zh-CN"/>
        </w:rPr>
        <w:t>是</w:t>
      </w:r>
      <w:r>
        <w:rPr>
          <w:rFonts w:hint="eastAsia" w:ascii="仿宋_GB2312" w:hAnsi="仿宋_GB2312" w:eastAsia="仿宋_GB2312" w:cs="仿宋_GB2312"/>
          <w:b/>
          <w:bCs/>
          <w:color w:val="auto"/>
          <w:sz w:val="32"/>
          <w:szCs w:val="32"/>
          <w:lang w:val="en-US" w:eastAsia="zh-CN"/>
        </w:rPr>
        <w:t>强化党纪学习教育</w:t>
      </w:r>
      <w:r>
        <w:rPr>
          <w:rFonts w:hint="eastAsia" w:ascii="仿宋_GB2312" w:hAnsi="仿宋_GB2312" w:eastAsia="仿宋_GB2312" w:cs="仿宋_GB2312"/>
          <w:b w:val="0"/>
          <w:bCs w:val="0"/>
          <w:color w:val="auto"/>
          <w:sz w:val="32"/>
          <w:szCs w:val="32"/>
          <w:lang w:val="en-US" w:eastAsia="zh-CN"/>
        </w:rPr>
        <w:t>。4至7月，党纪学习教育在全党范围内全面铺开，中心始终围绕“学纪、知纪、明纪、守纪”这个目标要求，组织党员干部集中学习《中国共产党纪律处分条例》等相关党纪法规，确保全体党员对全面从严治党有清醒的认识，自觉抵制不正之风，自觉做到心有所畏、行有所止、念有所戒；用正反面典型教育党员干部要不忘初心使命，牢记党的宗旨，咬定“三严三实”作风不放松，始终坚守廉洁底线和道德情操；把党纪学习教育和日常工作一体推进，同频共振，全年共约谈违纪党员干部6人次。</w:t>
      </w:r>
      <w:r>
        <w:rPr>
          <w:rFonts w:hint="eastAsia" w:ascii="仿宋_GB2312" w:hAnsi="仿宋_GB2312" w:eastAsia="仿宋_GB2312" w:cs="仿宋_GB2312"/>
          <w:b/>
          <w:bCs/>
          <w:color w:val="auto"/>
          <w:sz w:val="32"/>
          <w:szCs w:val="32"/>
          <w:lang w:val="en-US" w:eastAsia="zh-CN"/>
        </w:rPr>
        <w:t>三是强化队伍建设。</w:t>
      </w:r>
      <w:r>
        <w:rPr>
          <w:rFonts w:hint="eastAsia" w:ascii="仿宋_GB2312" w:hAnsi="仿宋_GB2312" w:eastAsia="仿宋_GB2312" w:cs="仿宋_GB2312"/>
          <w:b w:val="0"/>
          <w:bCs w:val="0"/>
          <w:color w:val="auto"/>
          <w:sz w:val="32"/>
          <w:szCs w:val="32"/>
          <w:lang w:val="en-US" w:eastAsia="zh-CN"/>
        </w:rPr>
        <w:t>中心始终把干部队伍建设作为重中之重，集中时间、集中力量抓好中青年干部培训，形成以老带新，传经送宝的良好局面，年轻干部在思想作风上、理论水平上、工作能力上、集体荣誉上迅速成长，突出体现在今年省首届验船师技能比武大赛中，船舶检验科娄琪等3位年轻骨干齐心协力，奋勇拼搏，获得团体和个人比武“双冠”。</w:t>
      </w:r>
    </w:p>
    <w:p w14:paraId="662A0E51">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（二）安全工作更加严格。</w:t>
      </w:r>
      <w:r>
        <w:rPr>
          <w:rFonts w:hint="eastAsia" w:ascii="仿宋_GB2312" w:hAnsi="仿宋_GB2312" w:eastAsia="仿宋_GB2312" w:cs="仿宋_GB2312"/>
          <w:b w:val="0"/>
          <w:bCs w:val="0"/>
          <w:color w:val="auto"/>
          <w:sz w:val="32"/>
          <w:szCs w:val="32"/>
          <w:lang w:val="en-US" w:eastAsia="zh-CN"/>
        </w:rPr>
        <w:t>安全工作是万事之基。</w:t>
      </w:r>
      <w:r>
        <w:rPr>
          <w:rFonts w:hint="eastAsia" w:ascii="仿宋_GB2312" w:hAnsi="仿宋_GB2312" w:eastAsia="仿宋_GB2312" w:cs="仿宋_GB2312"/>
          <w:b/>
          <w:bCs/>
          <w:color w:val="auto"/>
          <w:sz w:val="32"/>
          <w:szCs w:val="32"/>
          <w:lang w:val="en-US" w:eastAsia="zh-CN"/>
        </w:rPr>
        <w:t>一是在关键环节上抓安全。</w:t>
      </w:r>
      <w:r>
        <w:rPr>
          <w:rFonts w:hint="eastAsia" w:ascii="仿宋_GB2312" w:hAnsi="仿宋_GB2312" w:eastAsia="仿宋_GB2312" w:cs="仿宋_GB2312"/>
          <w:b w:val="0"/>
          <w:bCs w:val="0"/>
          <w:color w:val="auto"/>
          <w:sz w:val="32"/>
          <w:szCs w:val="32"/>
          <w:lang w:val="en-US" w:eastAsia="zh-CN"/>
        </w:rPr>
        <w:t>春运、汛期、重大节假日期间，中心持续强化安全督导检查，以“四不两直”方式深入企业和渡口，及时发现问题，限期整改到位，全年开展督导检查137余次、下发安全工作文件70余份、发布各类预警信息470余条、整改隐患7处；有效利用6月安全生产月特殊时期，积极宣传宣讲安全知识，共下发各类水上交通安全资料8600余册，联合祁东县水运事务中心开展水上交通安全知识进校园活动；严把船舶检验各个环节，杜绝检验不合格船舶发证现象，今年共完成船舶检验682艘次，其中营运检验499艘次，建造检验3艘，转入船舶16艘，转出船舶4艘。</w:t>
      </w:r>
      <w:r>
        <w:rPr>
          <w:rFonts w:hint="eastAsia" w:ascii="仿宋_GB2312" w:hAnsi="仿宋_GB2312" w:eastAsia="仿宋_GB2312" w:cs="仿宋_GB2312"/>
          <w:b/>
          <w:bCs/>
          <w:color w:val="auto"/>
          <w:sz w:val="32"/>
          <w:szCs w:val="32"/>
          <w:lang w:val="en-US" w:eastAsia="zh-CN"/>
        </w:rPr>
        <w:t>二是在科技兴安上抓安全。</w:t>
      </w:r>
      <w:r>
        <w:rPr>
          <w:rFonts w:hint="eastAsia" w:ascii="仿宋_GB2312" w:hAnsi="仿宋_GB2312" w:eastAsia="仿宋_GB2312" w:cs="仿宋_GB2312"/>
          <w:b w:val="0"/>
          <w:bCs w:val="0"/>
          <w:color w:val="auto"/>
          <w:sz w:val="32"/>
          <w:szCs w:val="32"/>
          <w:lang w:val="en-US" w:eastAsia="zh-CN"/>
        </w:rPr>
        <w:t>中心注重运用信息系统手段提升管理质效，指导督促各县（市）中心、各企业积极使用省智慧水运综合监管平台、省交通运输安全生产监管监察系统、客渡通、船E型等信息系统，运用信息化手段提升安全管理能力，及时掌握动态数据，提高工作效率。全年“客渡通”打卡13689次，“一会三卡”可视化打卡34696次。</w:t>
      </w:r>
      <w:r>
        <w:rPr>
          <w:rFonts w:hint="eastAsia" w:ascii="仿宋_GB2312" w:hAnsi="仿宋_GB2312" w:eastAsia="仿宋_GB2312" w:cs="仿宋_GB2312"/>
          <w:b/>
          <w:bCs/>
          <w:color w:val="auto"/>
          <w:sz w:val="32"/>
          <w:szCs w:val="32"/>
          <w:lang w:val="en-US" w:eastAsia="zh-CN"/>
        </w:rPr>
        <w:t>三是在提升应急救援能力上抓安全。</w:t>
      </w:r>
      <w:r>
        <w:rPr>
          <w:rFonts w:hint="eastAsia" w:ascii="仿宋_GB2312" w:hAnsi="仿宋_GB2312" w:eastAsia="仿宋_GB2312" w:cs="仿宋_GB2312"/>
          <w:b w:val="0"/>
          <w:bCs w:val="0"/>
          <w:color w:val="auto"/>
          <w:sz w:val="32"/>
          <w:szCs w:val="32"/>
          <w:lang w:val="en-US" w:eastAsia="zh-CN"/>
        </w:rPr>
        <w:t>结合我</w:t>
      </w:r>
      <w:r>
        <w:rPr>
          <w:rFonts w:hint="eastAsia" w:ascii="仿宋_GB2312" w:hAnsi="仿宋_GB2312" w:eastAsia="仿宋_GB2312" w:cs="仿宋_GB2312"/>
          <w:b w:val="0"/>
          <w:bCs w:val="0"/>
          <w:sz w:val="32"/>
          <w:szCs w:val="32"/>
          <w:lang w:val="en-US" w:eastAsia="zh-CN"/>
        </w:rPr>
        <w:t>市水上应急救援力量的特点，要求全市应急救援队伍进一步细化应急救援方案，强化应急救援训练和物资储备，有针对性地做好船舶走锚、人员疏散的专项应急演练，熟练掌握救援程序，细化人员分工，强化应对处置措施，指导常宁、祁东、衡南三县（市）出动船舶20余艘、80余人开展联合应急演练，大大提升了应急救援实战能力。</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color w:val="auto"/>
          <w:sz w:val="32"/>
          <w:szCs w:val="32"/>
          <w:lang w:val="en-US" w:eastAsia="zh-CN"/>
        </w:rPr>
        <w:t>是在落实专项行动上抓安全。</w:t>
      </w:r>
      <w:r>
        <w:rPr>
          <w:rFonts w:hint="eastAsia" w:ascii="仿宋_GB2312" w:hAnsi="仿宋_GB2312" w:eastAsia="仿宋_GB2312" w:cs="仿宋_GB2312"/>
          <w:b w:val="0"/>
          <w:bCs w:val="0"/>
          <w:color w:val="auto"/>
          <w:sz w:val="32"/>
          <w:szCs w:val="32"/>
          <w:lang w:val="en-US" w:eastAsia="zh-CN"/>
        </w:rPr>
        <w:t>全面核查，掌握底数，大力推动“三无船舶、僵尸船”清理工作，督促加强系固正常停泊作业船舶，坚决取缔三无船舶，集中停泊、上岸固定、依法拆解无人管理的僵尸船；持续推进休眠船舶清理工作，目前累计清理报废船舶106艘；持续推进船舶通检互认工作，优化营运船舶“就近申请、就近检验、就近发证”新模式，目前已受理通检互认业务1艘；从严要求，强化船舶通航安全管理，组织各县（市）中心、水运普货企业、港埠企业召开“加强桥区通航水域安全工作”专题会议，要求企业抓好一次宣贯教育、组织一次专项培训、观看一次专题警示片、完善一项管理制度，切实加强对所属船舶和船员管理，切实落实企业安全生产的主体责任；全面推进渡口规范清理工作，补充完善或者重新审批渡口批文，按规定明确渡口位置、渡船数量、渡运线路，今年共清理无船渡口、单边渡口、无批文渡口20余处，进一步范了我市渡口管理。</w:t>
      </w:r>
    </w:p>
    <w:p w14:paraId="443F4DAC">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（三）污染防治更加有效。</w:t>
      </w:r>
      <w:r>
        <w:rPr>
          <w:rFonts w:hint="eastAsia" w:ascii="仿宋_GB2312" w:hAnsi="仿宋_GB2312" w:eastAsia="仿宋_GB2312" w:cs="仿宋_GB2312"/>
          <w:b w:val="0"/>
          <w:bCs w:val="0"/>
          <w:color w:val="auto"/>
          <w:sz w:val="32"/>
          <w:szCs w:val="32"/>
          <w:lang w:val="en-US" w:eastAsia="zh-CN"/>
        </w:rPr>
        <w:t>依据《衡阳市船舶污染物接收运行监管制度》，定期在辖区水域内对停靠船舶发放问卷调查表，及时掌握船舶污染物接收、转运、处置情况，有效堵塞漏洞；指导、督促船舶污染物接收企业严格按照要求完成接收、转运和处置工作，严禁程序错位，严禁漏收或不收，2024年，共接收、转运处置船舶生活垃圾224吨，水上船舶费油水和生活污水处置485吨，基本实现船舶污染物接收上岸、转运、处置率达到上级要求的90</w:t>
      </w:r>
      <w:r>
        <w:rPr>
          <w:rFonts w:hint="eastAsia" w:ascii="宋体" w:hAnsi="宋体" w:eastAsia="宋体" w:cs="宋体"/>
          <w:b w:val="0"/>
          <w:bCs w:val="0"/>
          <w:color w:val="auto"/>
          <w:sz w:val="32"/>
          <w:szCs w:val="32"/>
          <w:lang w:val="en-US" w:eastAsia="zh-CN"/>
        </w:rPr>
        <w:t>％</w:t>
      </w:r>
      <w:r>
        <w:rPr>
          <w:rFonts w:hint="eastAsia" w:ascii="宋体" w:hAnsi="宋体" w:cs="宋体"/>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督促港口、码头工作人员完善操作规程，确保货物不撒漏、污水不直排、颗粒不扬尘和作业面干净整洁，今年共发现企业未落实环保措施问题10起，整改10起，对企业违法违规行为严惩不贷，坚决采取零容忍态度；积极推行船舶“零排放”，截至目前，辖区营运船舶共加装生活污水储存舱柜307艘，污油水柜314艘，全年船舶岸电受电设施改造23艘，按计划完成任务。</w:t>
      </w:r>
    </w:p>
    <w:p w14:paraId="2541E5D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color w:val="auto"/>
          <w:lang w:val="en-US" w:eastAsia="zh-CN"/>
        </w:rPr>
      </w:pPr>
      <w:r>
        <w:rPr>
          <w:rFonts w:hint="eastAsia" w:ascii="楷体_GB2312" w:hAnsi="楷体_GB2312" w:eastAsia="楷体_GB2312" w:cs="楷体_GB2312"/>
          <w:b/>
          <w:bCs/>
          <w:color w:val="auto"/>
          <w:kern w:val="2"/>
          <w:sz w:val="32"/>
          <w:szCs w:val="32"/>
          <w:lang w:val="en-US" w:eastAsia="zh-CN" w:bidi="ar-SA"/>
        </w:rPr>
        <w:t>（四）行业管理更加规范。</w:t>
      </w:r>
      <w:r>
        <w:rPr>
          <w:rFonts w:hint="eastAsia" w:ascii="仿宋_GB2312" w:hAnsi="仿宋_GB2312" w:eastAsia="仿宋_GB2312" w:cs="仿宋_GB2312"/>
          <w:b w:val="0"/>
          <w:bCs w:val="0"/>
          <w:color w:val="auto"/>
          <w:sz w:val="32"/>
          <w:szCs w:val="32"/>
          <w:lang w:val="en-US" w:eastAsia="zh-CN"/>
        </w:rPr>
        <w:t>严格工作程序，严审台账资料，扎实开展行业各项管理工作。</w:t>
      </w:r>
      <w:r>
        <w:rPr>
          <w:rFonts w:hint="eastAsia" w:ascii="仿宋_GB2312" w:hAnsi="仿宋_GB2312" w:eastAsia="仿宋_GB2312" w:cs="仿宋_GB2312"/>
          <w:b/>
          <w:bCs/>
          <w:color w:val="auto"/>
          <w:sz w:val="32"/>
          <w:szCs w:val="32"/>
          <w:lang w:val="en-US" w:eastAsia="zh-CN"/>
        </w:rPr>
        <w:t>一是圆满完成水运企业资质核查。</w:t>
      </w:r>
      <w:r>
        <w:rPr>
          <w:rFonts w:hint="eastAsia" w:ascii="仿宋_GB2312" w:hAnsi="仿宋_GB2312" w:eastAsia="仿宋_GB2312" w:cs="仿宋_GB2312"/>
          <w:b w:val="0"/>
          <w:bCs w:val="0"/>
          <w:color w:val="auto"/>
          <w:sz w:val="32"/>
          <w:szCs w:val="32"/>
          <w:lang w:val="en-US" w:eastAsia="zh-CN"/>
        </w:rPr>
        <w:t>全市共核查水路运输企业19家，个体水路运输经营业户11家，营运船舶357艘；对1家水运企业经营许可证和24艘船舶营运证完成换发工作，对1家客运企业经营许可证完成申请资料审查工作。</w:t>
      </w:r>
      <w:r>
        <w:rPr>
          <w:rFonts w:hint="eastAsia" w:ascii="仿宋_GB2312" w:hAnsi="仿宋_GB2312" w:eastAsia="仿宋_GB2312" w:cs="仿宋_GB2312"/>
          <w:b/>
          <w:bCs/>
          <w:color w:val="auto"/>
          <w:sz w:val="32"/>
          <w:szCs w:val="32"/>
          <w:lang w:val="en-US" w:eastAsia="zh-CN"/>
        </w:rPr>
        <w:t>二是落实企业安全生产标准化运行。</w:t>
      </w:r>
      <w:r>
        <w:rPr>
          <w:rFonts w:hint="eastAsia" w:ascii="仿宋_GB2312" w:hAnsi="仿宋_GB2312" w:eastAsia="仿宋_GB2312" w:cs="仿宋_GB2312"/>
          <w:b w:val="0"/>
          <w:bCs w:val="0"/>
          <w:color w:val="auto"/>
          <w:sz w:val="32"/>
          <w:szCs w:val="32"/>
          <w:lang w:val="en-US" w:eastAsia="zh-CN"/>
        </w:rPr>
        <w:t>全市20家水路运输企业全部完成了安全生产标准化体系建设，并按照体系文件要求开展日常安全生产工作，实现水运企业安全生产标准化全覆盖。</w:t>
      </w:r>
      <w:r>
        <w:rPr>
          <w:rFonts w:hint="eastAsia" w:ascii="仿宋_GB2312" w:hAnsi="仿宋_GB2312" w:eastAsia="仿宋_GB2312" w:cs="仿宋_GB2312"/>
          <w:b/>
          <w:bCs/>
          <w:color w:val="auto"/>
          <w:sz w:val="32"/>
          <w:szCs w:val="32"/>
          <w:lang w:val="en-US" w:eastAsia="zh-CN"/>
        </w:rPr>
        <w:t>三是规范资金申报和发放。</w:t>
      </w:r>
      <w:r>
        <w:rPr>
          <w:rFonts w:hint="eastAsia" w:ascii="仿宋_GB2312" w:hAnsi="仿宋_GB2312" w:eastAsia="仿宋_GB2312" w:cs="仿宋_GB2312"/>
          <w:b w:val="0"/>
          <w:bCs w:val="0"/>
          <w:color w:val="auto"/>
          <w:sz w:val="32"/>
          <w:szCs w:val="32"/>
          <w:lang w:val="en-US" w:eastAsia="zh-CN"/>
        </w:rPr>
        <w:t>为促进水运高质量发展，今年共完成28艘船舶动力结构调整项目奖补资金申报审核工作；对2023年农村水路客运补贴资金进行了申报和审核，配合市交通运输局完成市本级2023年补贴资金和省统筹资金发放工作。</w:t>
      </w:r>
      <w:r>
        <w:rPr>
          <w:rFonts w:hint="eastAsia" w:ascii="仿宋_GB2312" w:hAnsi="仿宋_GB2312" w:eastAsia="仿宋_GB2312" w:cs="仿宋_GB2312"/>
          <w:b/>
          <w:bCs/>
          <w:color w:val="auto"/>
          <w:sz w:val="32"/>
          <w:szCs w:val="32"/>
          <w:lang w:val="en-US" w:eastAsia="zh-CN"/>
        </w:rPr>
        <w:t>四是便民服务意识越来越强。</w:t>
      </w:r>
      <w:r>
        <w:rPr>
          <w:rFonts w:hint="eastAsia" w:ascii="仿宋_GB2312" w:hAnsi="仿宋_GB2312" w:eastAsia="仿宋_GB2312" w:cs="仿宋_GB2312"/>
          <w:b w:val="0"/>
          <w:bCs w:val="0"/>
          <w:color w:val="auto"/>
          <w:sz w:val="32"/>
          <w:szCs w:val="32"/>
          <w:lang w:val="en-US" w:eastAsia="zh-CN"/>
        </w:rPr>
        <w:t>中心在政务中心工作的同志，始终坚持热情接待、微笑服务，主动为船员讲清办事流程、解答相关政策、告知办结时限和注意事项，截至目前，全年共完成船舶登记598艘次，抵押金额1.9亿元，签发船员适任证书346本、客船船员特殊培训合格证334本，且实现全年涉办窗口和科室各类办件零差错、零投诉目标。</w:t>
      </w:r>
    </w:p>
    <w:p w14:paraId="626655EE">
      <w:pPr>
        <w:ind w:firstLine="640" w:firstLineChars="200"/>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24</w:t>
      </w:r>
      <w:r>
        <w:rPr>
          <w:rFonts w:hint="eastAsia" w:ascii="仿宋" w:hAnsi="仿宋" w:eastAsia="仿宋" w:cs="仿宋"/>
          <w:sz w:val="32"/>
          <w:szCs w:val="32"/>
        </w:rPr>
        <w:t>年市财政批复“三公”经费年初预算数</w:t>
      </w:r>
      <w:r>
        <w:rPr>
          <w:rFonts w:hint="eastAsia" w:ascii="仿宋" w:hAnsi="仿宋" w:eastAsia="仿宋" w:cs="仿宋"/>
          <w:sz w:val="32"/>
          <w:szCs w:val="32"/>
          <w:lang w:val="en-US" w:eastAsia="zh-CN"/>
        </w:rPr>
        <w:t xml:space="preserve">7.6 </w:t>
      </w:r>
      <w:r>
        <w:rPr>
          <w:rFonts w:hint="eastAsia" w:ascii="仿宋" w:hAnsi="仿宋" w:eastAsia="仿宋" w:cs="仿宋"/>
          <w:sz w:val="32"/>
          <w:szCs w:val="32"/>
        </w:rPr>
        <w:t>万元，其中：公务接待费</w:t>
      </w:r>
      <w:r>
        <w:rPr>
          <w:rFonts w:hint="eastAsia" w:ascii="仿宋" w:hAnsi="仿宋" w:eastAsia="仿宋" w:cs="仿宋"/>
          <w:sz w:val="32"/>
          <w:szCs w:val="32"/>
          <w:lang w:val="en-US" w:eastAsia="zh-CN"/>
        </w:rPr>
        <w:t>1.1</w:t>
      </w:r>
      <w:r>
        <w:rPr>
          <w:rFonts w:hint="eastAsia" w:ascii="仿宋" w:hAnsi="仿宋" w:eastAsia="仿宋" w:cs="仿宋"/>
          <w:sz w:val="32"/>
          <w:szCs w:val="32"/>
        </w:rPr>
        <w:t>万元、公务用车运行维护费</w:t>
      </w:r>
      <w:r>
        <w:rPr>
          <w:rFonts w:hint="eastAsia" w:ascii="仿宋" w:hAnsi="仿宋" w:eastAsia="仿宋" w:cs="仿宋"/>
          <w:sz w:val="32"/>
          <w:szCs w:val="32"/>
          <w:lang w:val="en-US" w:eastAsia="zh-CN"/>
        </w:rPr>
        <w:t>6.5</w:t>
      </w:r>
      <w:r>
        <w:rPr>
          <w:rFonts w:hint="eastAsia" w:ascii="仿宋" w:hAnsi="仿宋" w:eastAsia="仿宋" w:cs="仿宋"/>
          <w:sz w:val="32"/>
          <w:szCs w:val="32"/>
        </w:rPr>
        <w:t>万元，无公务用车购置费。“三公”经费全年支出</w:t>
      </w:r>
      <w:r>
        <w:rPr>
          <w:rFonts w:hint="eastAsia" w:ascii="仿宋" w:hAnsi="仿宋" w:eastAsia="仿宋" w:cs="仿宋"/>
          <w:sz w:val="32"/>
          <w:szCs w:val="32"/>
          <w:lang w:val="en-US" w:eastAsia="zh-CN"/>
        </w:rPr>
        <w:t>7.05</w:t>
      </w:r>
      <w:r>
        <w:rPr>
          <w:rFonts w:hint="eastAsia" w:ascii="仿宋" w:hAnsi="仿宋" w:eastAsia="仿宋" w:cs="仿宋"/>
          <w:sz w:val="32"/>
          <w:szCs w:val="32"/>
        </w:rPr>
        <w:t>万元，其中：公务接待费</w:t>
      </w:r>
      <w:r>
        <w:rPr>
          <w:rFonts w:hint="eastAsia" w:ascii="仿宋" w:hAnsi="仿宋" w:eastAsia="仿宋" w:cs="仿宋"/>
          <w:sz w:val="32"/>
          <w:szCs w:val="32"/>
          <w:lang w:val="en-US" w:eastAsia="zh-CN"/>
        </w:rPr>
        <w:t>0.64</w:t>
      </w:r>
      <w:r>
        <w:rPr>
          <w:rFonts w:hint="eastAsia" w:ascii="仿宋" w:hAnsi="仿宋" w:eastAsia="仿宋" w:cs="仿宋"/>
          <w:sz w:val="32"/>
          <w:szCs w:val="32"/>
        </w:rPr>
        <w:t>万元、公务用车运行维护费</w:t>
      </w:r>
      <w:r>
        <w:rPr>
          <w:rFonts w:hint="eastAsia" w:ascii="仿宋" w:hAnsi="仿宋" w:eastAsia="仿宋" w:cs="仿宋"/>
          <w:sz w:val="32"/>
          <w:szCs w:val="32"/>
          <w:lang w:val="en-US" w:eastAsia="zh-CN"/>
        </w:rPr>
        <w:t>6.41</w:t>
      </w:r>
      <w:r>
        <w:rPr>
          <w:rFonts w:hint="eastAsia" w:ascii="仿宋" w:hAnsi="仿宋" w:eastAsia="仿宋" w:cs="仿宋"/>
          <w:sz w:val="32"/>
          <w:szCs w:val="32"/>
        </w:rPr>
        <w:t>万元，无公务用车购置费。“三公经费”未超标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比</w:t>
      </w:r>
      <w:r>
        <w:rPr>
          <w:rFonts w:hint="eastAsia" w:ascii="仿宋" w:hAnsi="仿宋" w:eastAsia="仿宋" w:cs="仿宋"/>
          <w:sz w:val="32"/>
          <w:szCs w:val="32"/>
        </w:rPr>
        <w:t>年初预算</w:t>
      </w:r>
      <w:r>
        <w:rPr>
          <w:rFonts w:hint="eastAsia" w:ascii="仿宋" w:hAnsi="仿宋" w:eastAsia="仿宋" w:cs="仿宋"/>
          <w:sz w:val="32"/>
          <w:szCs w:val="32"/>
          <w:lang w:val="en-US" w:eastAsia="zh-CN"/>
        </w:rPr>
        <w:t>减少0.55</w:t>
      </w:r>
      <w:r>
        <w:rPr>
          <w:rFonts w:hint="eastAsia" w:ascii="仿宋" w:hAnsi="仿宋" w:eastAsia="仿宋" w:cs="仿宋"/>
          <w:sz w:val="32"/>
          <w:szCs w:val="32"/>
        </w:rPr>
        <w:t>万元，</w:t>
      </w:r>
      <w:r>
        <w:rPr>
          <w:rFonts w:hint="eastAsia" w:ascii="仿宋" w:hAnsi="仿宋" w:eastAsia="仿宋" w:cs="仿宋"/>
          <w:sz w:val="32"/>
          <w:szCs w:val="32"/>
          <w:lang w:val="en-US" w:eastAsia="zh-CN"/>
        </w:rPr>
        <w:t>减少0.07</w:t>
      </w:r>
      <w:r>
        <w:rPr>
          <w:rFonts w:hint="eastAsia" w:ascii="仿宋" w:hAnsi="仿宋" w:eastAsia="仿宋" w:cs="仿宋"/>
          <w:sz w:val="32"/>
          <w:szCs w:val="32"/>
        </w:rPr>
        <w:t>%。其中：公务接待费</w:t>
      </w:r>
      <w:r>
        <w:rPr>
          <w:rFonts w:hint="eastAsia" w:ascii="仿宋" w:hAnsi="仿宋" w:eastAsia="仿宋" w:cs="仿宋"/>
          <w:sz w:val="32"/>
          <w:szCs w:val="32"/>
          <w:lang w:val="en-US" w:eastAsia="zh-CN"/>
        </w:rPr>
        <w:t>减少0.46</w:t>
      </w:r>
      <w:r>
        <w:rPr>
          <w:rFonts w:hint="eastAsia" w:ascii="仿宋" w:hAnsi="仿宋" w:eastAsia="仿宋" w:cs="仿宋"/>
          <w:sz w:val="32"/>
          <w:szCs w:val="32"/>
        </w:rPr>
        <w:t>万元，</w:t>
      </w:r>
      <w:r>
        <w:rPr>
          <w:rFonts w:hint="eastAsia" w:ascii="仿宋" w:hAnsi="仿宋" w:eastAsia="仿宋" w:cs="仿宋"/>
          <w:sz w:val="32"/>
          <w:szCs w:val="32"/>
          <w:lang w:val="en-US" w:eastAsia="zh-CN"/>
        </w:rPr>
        <w:t>减少0.42</w:t>
      </w:r>
      <w:r>
        <w:rPr>
          <w:rFonts w:hint="eastAsia" w:ascii="仿宋" w:hAnsi="仿宋" w:eastAsia="仿宋" w:cs="仿宋"/>
          <w:sz w:val="32"/>
          <w:szCs w:val="32"/>
        </w:rPr>
        <w:t>%。公务用车运行维护费</w:t>
      </w:r>
      <w:r>
        <w:rPr>
          <w:rFonts w:hint="eastAsia" w:ascii="仿宋" w:hAnsi="仿宋" w:eastAsia="仿宋" w:cs="仿宋"/>
          <w:sz w:val="32"/>
          <w:szCs w:val="32"/>
          <w:lang w:val="en-US" w:eastAsia="zh-CN"/>
        </w:rPr>
        <w:t>减少0.09</w:t>
      </w:r>
      <w:r>
        <w:rPr>
          <w:rFonts w:hint="eastAsia" w:ascii="仿宋" w:hAnsi="仿宋" w:eastAsia="仿宋" w:cs="仿宋"/>
          <w:sz w:val="32"/>
          <w:szCs w:val="32"/>
        </w:rPr>
        <w:t>万元，</w:t>
      </w:r>
      <w:r>
        <w:rPr>
          <w:rFonts w:hint="eastAsia" w:ascii="仿宋" w:hAnsi="仿宋" w:eastAsia="仿宋" w:cs="仿宋"/>
          <w:sz w:val="32"/>
          <w:szCs w:val="32"/>
          <w:lang w:val="en-US" w:eastAsia="zh-CN"/>
        </w:rPr>
        <w:t>减少0.01</w:t>
      </w:r>
      <w:r>
        <w:rPr>
          <w:rFonts w:hint="eastAsia" w:ascii="仿宋" w:hAnsi="仿宋" w:eastAsia="仿宋" w:cs="仿宋"/>
          <w:sz w:val="32"/>
          <w:szCs w:val="32"/>
        </w:rPr>
        <w:t>%。</w:t>
      </w:r>
      <w:r>
        <w:rPr>
          <w:rFonts w:hint="eastAsia" w:ascii="仿宋" w:hAnsi="仿宋" w:eastAsia="仿宋" w:cs="仿宋"/>
          <w:sz w:val="32"/>
          <w:szCs w:val="32"/>
          <w:lang w:val="en-US" w:eastAsia="zh-CN"/>
        </w:rPr>
        <w:t>2024年</w:t>
      </w:r>
      <w:r>
        <w:rPr>
          <w:rFonts w:hint="eastAsia" w:ascii="仿宋" w:hAnsi="仿宋" w:eastAsia="仿宋" w:cs="仿宋"/>
          <w:sz w:val="32"/>
          <w:szCs w:val="32"/>
        </w:rPr>
        <w:t>无公务用车购置费，无因公出国（境）费用。</w:t>
      </w:r>
    </w:p>
    <w:p w14:paraId="46F95767">
      <w:pPr>
        <w:pStyle w:val="13"/>
        <w:keepNext w:val="0"/>
        <w:keepLines w:val="0"/>
        <w:pageBreakBefore w:val="0"/>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在资金的使用上，中心</w:t>
      </w:r>
      <w:r>
        <w:rPr>
          <w:rFonts w:hint="eastAsia" w:ascii="仿宋" w:hAnsi="仿宋" w:eastAsia="仿宋" w:cs="仿宋"/>
          <w:sz w:val="32"/>
          <w:szCs w:val="32"/>
        </w:rPr>
        <w:t>严格执行各项有关法律法规、财经纪律、财务规章制度</w:t>
      </w:r>
      <w:r>
        <w:rPr>
          <w:rFonts w:hint="eastAsia" w:ascii="仿宋" w:hAnsi="仿宋" w:eastAsia="仿宋" w:cs="仿宋"/>
          <w:sz w:val="32"/>
          <w:szCs w:val="32"/>
          <w:lang w:eastAsia="zh-CN"/>
        </w:rPr>
        <w:t>，并制定了</w:t>
      </w:r>
      <w:r>
        <w:rPr>
          <w:rFonts w:hint="eastAsia" w:ascii="仿宋" w:hAnsi="仿宋" w:eastAsia="仿宋" w:cs="仿宋"/>
          <w:b w:val="0"/>
          <w:bCs/>
          <w:color w:val="auto"/>
          <w:sz w:val="32"/>
          <w:szCs w:val="32"/>
          <w:lang w:val="en-US" w:eastAsia="zh-CN"/>
        </w:rPr>
        <w:t>《关于进一步规范财务管理制度的通知》，《关于进一步修订政府采购内控制度管理办法的通知》，《关于全面落实过紧日子要求厉行节约 反对浪费的若干规定》，强化监督管理，规范人财物管理权力的正确运行，形成制度管人、制度管事的管理氛围。</w:t>
      </w:r>
      <w:r>
        <w:rPr>
          <w:rFonts w:hint="eastAsia" w:ascii="仿宋" w:hAnsi="仿宋" w:eastAsia="仿宋" w:cs="仿宋"/>
          <w:sz w:val="32"/>
          <w:szCs w:val="32"/>
          <w:lang w:eastAsia="zh-CN"/>
        </w:rPr>
        <w:t>有效地监控、规范、有计划地使用资金，从而确保了资金效益的充分发挥，确保全市辖区水域的一方平安，</w:t>
      </w:r>
      <w:r>
        <w:rPr>
          <w:rFonts w:hint="eastAsia" w:ascii="仿宋" w:hAnsi="仿宋" w:eastAsia="仿宋" w:cs="仿宋"/>
          <w:sz w:val="32"/>
          <w:szCs w:val="32"/>
          <w:lang w:val="en-US" w:eastAsia="zh-CN"/>
        </w:rPr>
        <w:t>水运事业持续健康有序发展，群众满意度不断提高</w:t>
      </w:r>
      <w:r>
        <w:rPr>
          <w:rFonts w:hint="eastAsia" w:ascii="仿宋" w:hAnsi="仿宋" w:eastAsia="仿宋" w:cs="仿宋"/>
          <w:sz w:val="32"/>
          <w:szCs w:val="32"/>
          <w:lang w:eastAsia="zh-CN"/>
        </w:rPr>
        <w:t>。</w:t>
      </w:r>
    </w:p>
    <w:p w14:paraId="1D7F18EA">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七、存在的问题及原因分析</w:t>
      </w:r>
    </w:p>
    <w:p w14:paraId="6A7ACDA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绩效管理的目的是</w:t>
      </w:r>
      <w:r>
        <w:rPr>
          <w:rFonts w:hint="eastAsia" w:ascii="仿宋" w:hAnsi="仿宋" w:eastAsia="仿宋" w:cs="仿宋"/>
          <w:sz w:val="32"/>
          <w:szCs w:val="32"/>
          <w:lang w:val="en-US" w:eastAsia="zh-CN"/>
        </w:rPr>
        <w:t>为了</w:t>
      </w:r>
      <w:r>
        <w:rPr>
          <w:rFonts w:ascii="Times New Roman" w:hAnsi="Times New Roman" w:eastAsia="仿宋_GB2312"/>
          <w:sz w:val="32"/>
          <w:szCs w:val="32"/>
        </w:rPr>
        <w:t>促进单位从整体上提升预算绩效管理工作水平，强化支出责任，规范资金管理行为，</w:t>
      </w:r>
      <w:r>
        <w:rPr>
          <w:rFonts w:ascii="Times New Roman" w:hAnsi="Times New Roman" w:eastAsia="仿宋_GB2312"/>
          <w:kern w:val="0"/>
          <w:sz w:val="32"/>
          <w:szCs w:val="32"/>
        </w:rPr>
        <w:t>提高财政资金使用效益，保障单位更好地履行职责</w:t>
      </w:r>
      <w:r>
        <w:rPr>
          <w:rFonts w:hint="eastAsia" w:ascii="Times New Roman" w:hAnsi="Times New Roman" w:eastAsia="仿宋_GB2312"/>
          <w:kern w:val="0"/>
          <w:sz w:val="32"/>
          <w:szCs w:val="32"/>
          <w:lang w:eastAsia="zh-CN"/>
        </w:rPr>
        <w:t>。</w:t>
      </w:r>
      <w:r>
        <w:rPr>
          <w:rFonts w:hint="eastAsia" w:ascii="仿宋" w:hAnsi="仿宋" w:eastAsia="仿宋" w:cs="仿宋"/>
          <w:sz w:val="32"/>
          <w:szCs w:val="32"/>
        </w:rPr>
        <w:t>但由于各因素的限制，</w:t>
      </w:r>
      <w:r>
        <w:rPr>
          <w:rFonts w:hint="eastAsia" w:ascii="仿宋" w:hAnsi="仿宋" w:eastAsia="仿宋" w:cs="仿宋"/>
          <w:sz w:val="32"/>
          <w:szCs w:val="32"/>
          <w:lang w:val="en-US" w:eastAsia="zh-CN"/>
        </w:rPr>
        <w:t>目前</w:t>
      </w:r>
      <w:r>
        <w:rPr>
          <w:rFonts w:hint="eastAsia" w:ascii="仿宋" w:hAnsi="仿宋" w:eastAsia="仿宋" w:cs="仿宋"/>
          <w:sz w:val="32"/>
          <w:szCs w:val="32"/>
        </w:rPr>
        <w:t>单位的绩效管理中存在着一些问题，绩效管理需要进一步改进。绩效管理中存在的问题</w:t>
      </w:r>
      <w:r>
        <w:rPr>
          <w:rFonts w:hint="eastAsia" w:ascii="仿宋" w:hAnsi="仿宋" w:eastAsia="仿宋" w:cs="仿宋"/>
          <w:sz w:val="32"/>
          <w:szCs w:val="32"/>
          <w:lang w:val="en-US" w:eastAsia="zh-CN"/>
        </w:rPr>
        <w:t>及原因分析：</w:t>
      </w:r>
    </w:p>
    <w:p w14:paraId="15870160">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思想认识不到位，观念陈旧落后。绩效考核在单位管理工作中起着非常重要的作用，但是由于种种原因，绩效管理在事业单位中并没有引起相关人士的重视。在实际工作中，由于相关人员对绩效管理缺乏正确的理解和认识，对其认识不清，未能正确意识到绩效管理的作用和目的，将其当作日常事务处理，将绩效管理短期化，这些都使绩效管理难以发挥真正的作用。</w:t>
      </w:r>
    </w:p>
    <w:p w14:paraId="5F33F1C0">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监督监管机制不健全，流于形式化。没有建立科学完善的考核体系，考核标准不规范。推行绩效考核管理制度不仅工作量大，而且由于岗位部门众多，很容易在推行的过程中由于沟通不顺畅或者各个岗位部门间平衡难度大而无法顺利开展。使得绩效管理流于形式化，并没有在单位中落到实处。</w:t>
      </w:r>
    </w:p>
    <w:p w14:paraId="6DDE5093">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在单位中缺乏对相关员工的绩效管理的培训和专业指导。由于绩效管理评价体系不仅依赖于系统评价本身的科学公正，也与系统评价者本身的能力有着密切的联系。因为评价者的任何主观失误或者或对评价指标和评价标准的认识误差都会在很大程度上影响评价的准确性，进而影响其他环节的准确性和有效性。</w:t>
      </w:r>
    </w:p>
    <w:p w14:paraId="00785D49">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八、下一步改进措施</w:t>
      </w:r>
    </w:p>
    <w:p w14:paraId="51700B9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必须看到</w:t>
      </w:r>
      <w:r>
        <w:rPr>
          <w:rFonts w:hint="eastAsia" w:ascii="仿宋" w:hAnsi="仿宋" w:eastAsia="仿宋" w:cs="仿宋"/>
          <w:sz w:val="32"/>
          <w:szCs w:val="32"/>
          <w:lang w:val="en-US" w:eastAsia="zh-CN"/>
        </w:rPr>
        <w:t>在</w:t>
      </w:r>
      <w:r>
        <w:rPr>
          <w:rFonts w:hint="eastAsia" w:ascii="仿宋" w:hAnsi="仿宋" w:eastAsia="仿宋" w:cs="仿宋"/>
          <w:sz w:val="32"/>
          <w:szCs w:val="32"/>
        </w:rPr>
        <w:t>单位绩效管理中存在的问题，如果得不到解决将会影响事业单位的健康发展。因此，要采取有效的措施确保这些问题得以解决。</w:t>
      </w:r>
      <w:r>
        <w:rPr>
          <w:rFonts w:hint="eastAsia" w:ascii="仿宋" w:hAnsi="仿宋" w:eastAsia="仿宋" w:cs="仿宋"/>
          <w:sz w:val="32"/>
          <w:szCs w:val="32"/>
          <w:lang w:val="en-US" w:eastAsia="zh-CN"/>
        </w:rPr>
        <w:t>改进和完善</w:t>
      </w:r>
      <w:r>
        <w:rPr>
          <w:rFonts w:hint="eastAsia" w:ascii="仿宋" w:hAnsi="仿宋" w:eastAsia="仿宋" w:cs="仿宋"/>
          <w:sz w:val="32"/>
          <w:szCs w:val="32"/>
        </w:rPr>
        <w:t>绩效管理</w:t>
      </w:r>
      <w:r>
        <w:rPr>
          <w:rFonts w:hint="eastAsia" w:ascii="仿宋" w:hAnsi="仿宋" w:eastAsia="仿宋" w:cs="仿宋"/>
          <w:sz w:val="32"/>
          <w:szCs w:val="32"/>
          <w:lang w:val="en-US" w:eastAsia="zh-CN"/>
        </w:rPr>
        <w:t>的</w:t>
      </w:r>
      <w:r>
        <w:rPr>
          <w:rFonts w:hint="eastAsia" w:ascii="仿宋" w:hAnsi="仿宋" w:eastAsia="仿宋" w:cs="仿宋"/>
          <w:sz w:val="32"/>
          <w:szCs w:val="32"/>
        </w:rPr>
        <w:t>措施和办法</w:t>
      </w:r>
      <w:r>
        <w:rPr>
          <w:rFonts w:hint="eastAsia" w:ascii="仿宋" w:hAnsi="仿宋" w:eastAsia="仿宋" w:cs="仿宋"/>
          <w:sz w:val="32"/>
          <w:szCs w:val="32"/>
          <w:lang w:val="en-US" w:eastAsia="zh-CN"/>
        </w:rPr>
        <w:t>是：</w:t>
      </w:r>
    </w:p>
    <w:p w14:paraId="3DE9A95E">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1.加强认识，转变观念。要加大宣传力度</w:t>
      </w:r>
      <w:r>
        <w:rPr>
          <w:rFonts w:hint="eastAsia" w:ascii="仿宋" w:hAnsi="仿宋" w:eastAsia="仿宋" w:cs="仿宋"/>
          <w:sz w:val="32"/>
          <w:szCs w:val="32"/>
          <w:lang w:eastAsia="zh-CN"/>
        </w:rPr>
        <w:t>，</w:t>
      </w:r>
      <w:r>
        <w:rPr>
          <w:rFonts w:hint="eastAsia" w:ascii="仿宋" w:hAnsi="仿宋" w:eastAsia="仿宋" w:cs="仿宋"/>
          <w:sz w:val="32"/>
          <w:szCs w:val="32"/>
        </w:rPr>
        <w:t>提高单位领导和职工对绩效管理重要性的认识，应该充分意识到绩效考核对工作的促进作用和对单位发展的有利作用</w:t>
      </w:r>
      <w:r>
        <w:rPr>
          <w:rFonts w:hint="eastAsia" w:ascii="仿宋" w:hAnsi="仿宋" w:eastAsia="仿宋" w:cs="仿宋"/>
          <w:sz w:val="32"/>
          <w:szCs w:val="32"/>
          <w:lang w:eastAsia="zh-CN"/>
        </w:rPr>
        <w:t>，</w:t>
      </w:r>
      <w:r>
        <w:rPr>
          <w:rFonts w:hint="eastAsia" w:ascii="仿宋" w:hAnsi="仿宋" w:eastAsia="仿宋" w:cs="仿宋"/>
          <w:sz w:val="32"/>
          <w:szCs w:val="32"/>
        </w:rPr>
        <w:t>认识到在单位实施绩效管理的必要性和迫切性，提高管理水平和能力，将绩效管理工作提到日常事务中，并经常检查和监督，保障绩效管理工作的正常顺利开展。只有在单位树立良好的绩效管理的意识和营造良好的参与环境，绩效管理才有可能实施开来，才能真正发挥作用。</w:t>
      </w:r>
    </w:p>
    <w:p w14:paraId="10294DBF">
      <w:pPr>
        <w:ind w:firstLine="640" w:firstLineChars="200"/>
        <w:rPr>
          <w:rFonts w:hint="eastAsia" w:ascii="仿宋" w:hAnsi="仿宋" w:eastAsia="仿宋" w:cs="仿宋"/>
          <w:sz w:val="32"/>
          <w:szCs w:val="32"/>
        </w:rPr>
      </w:pPr>
      <w:r>
        <w:rPr>
          <w:rFonts w:hint="eastAsia" w:ascii="仿宋" w:hAnsi="仿宋" w:eastAsia="仿宋" w:cs="仿宋"/>
          <w:sz w:val="32"/>
          <w:szCs w:val="32"/>
        </w:rPr>
        <w:t>2.建立健全考核标准和体系。严格考评，抓好落实。要把绩效管理与</w:t>
      </w:r>
      <w:r>
        <w:rPr>
          <w:rFonts w:hint="eastAsia" w:ascii="仿宋" w:hAnsi="仿宋" w:eastAsia="仿宋" w:cs="仿宋"/>
          <w:sz w:val="32"/>
          <w:szCs w:val="32"/>
          <w:lang w:val="en-US" w:eastAsia="zh-CN"/>
        </w:rPr>
        <w:t>实际</w:t>
      </w:r>
      <w:r>
        <w:rPr>
          <w:rFonts w:hint="eastAsia" w:ascii="仿宋" w:hAnsi="仿宋" w:eastAsia="仿宋" w:cs="仿宋"/>
          <w:sz w:val="32"/>
          <w:szCs w:val="32"/>
        </w:rPr>
        <w:t>工作紧密结合起来，试行一体化运行，切实防止“两张皮”现象。担负考评职责的部门要认真履行考评职责，跟踪对照各自负责考评的指标，制定的指标就要按标准考评，考评不了的就不要制定，做到“严格”、“严肃”;被考评单位要围绕指标，细化安排，制定措施，强化自我管理意识。发挥考评指标的引导功能，对做什么、怎么做、做到什么程度都要心中有数，既立足当前落实任务，又着眼长远建章立制，抓重点，抓关键，以点带面，整体推进。</w:t>
      </w:r>
    </w:p>
    <w:p w14:paraId="2E84909D">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3.建立健全监督监管机制，确保绩效管理的公平公正。明确责任，提质增效。指标定责要按照“横向到边、纵向到底”的原则，明确每一项指标的责任领导、责任部门和责任人，以指标明责任，以考评问责任，以改进强责任，推动绩效管理“指挥棒”作用有效发挥，促进工作提质增效。5.加强培训，推动工作。</w:t>
      </w:r>
    </w:p>
    <w:p w14:paraId="5BB113FF">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加强培训。强化绩效考评管理人员的培训，树立“走出去、请进来”的理念，提升绩效考评人员的业务素质能力，协调管理能力，在单位用人计划中，增设绩效管理岗位，并使人员相对稳定，确保绩效管理工作的连贯性。同时，注重领导干部及部门负责人的绩效业务知识培训，全面普及绩效管理知识，深入理解绩效考核的实质与具体内容以及实行绩效管理的必要性和迫切性，提</w:t>
      </w:r>
      <w:r>
        <w:rPr>
          <w:rFonts w:hint="eastAsia" w:ascii="仿宋" w:hAnsi="仿宋" w:eastAsia="仿宋" w:cs="仿宋"/>
          <w:sz w:val="32"/>
          <w:szCs w:val="32"/>
          <w:lang w:val="en-US" w:eastAsia="zh-CN"/>
        </w:rPr>
        <w:t>高</w:t>
      </w:r>
      <w:r>
        <w:rPr>
          <w:rFonts w:hint="eastAsia" w:ascii="仿宋" w:hAnsi="仿宋" w:eastAsia="仿宋" w:cs="仿宋"/>
          <w:sz w:val="32"/>
          <w:szCs w:val="32"/>
        </w:rPr>
        <w:t>参与度，便于绩效管理工作的常态化开展</w:t>
      </w:r>
      <w:r>
        <w:rPr>
          <w:rFonts w:hint="eastAsia" w:ascii="仿宋" w:hAnsi="仿宋" w:eastAsia="仿宋" w:cs="仿宋"/>
          <w:sz w:val="32"/>
          <w:szCs w:val="32"/>
          <w:lang w:eastAsia="zh-CN"/>
        </w:rPr>
        <w:t>，</w:t>
      </w:r>
      <w:r>
        <w:rPr>
          <w:rFonts w:hint="eastAsia" w:ascii="仿宋" w:hAnsi="仿宋" w:eastAsia="仿宋" w:cs="仿宋"/>
          <w:sz w:val="32"/>
          <w:szCs w:val="32"/>
        </w:rPr>
        <w:t>保证绩效管理的顺利开展。</w:t>
      </w:r>
    </w:p>
    <w:p w14:paraId="735B2638">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九、其他需要说明的情况</w:t>
      </w:r>
    </w:p>
    <w:p w14:paraId="11A2378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14:paraId="3EFD064E">
      <w:pPr>
        <w:pStyle w:val="12"/>
        <w:ind w:left="0" w:leftChars="0" w:firstLine="0" w:firstLineChars="0"/>
        <w:rPr>
          <w:rFonts w:hint="eastAsia" w:ascii="Times New Roman" w:hAnsi="Times New Roman" w:eastAsia="仿宋_GB2312"/>
          <w:sz w:val="32"/>
          <w:szCs w:val="32"/>
          <w:lang w:eastAsia="zh-CN"/>
        </w:rPr>
      </w:pPr>
    </w:p>
    <w:sectPr>
      <w:footerReference r:id="rId3" w:type="default"/>
      <w:footerReference r:id="rId4" w:type="even"/>
      <w:pgSz w:w="11906" w:h="16838"/>
      <w:pgMar w:top="1440" w:right="1797" w:bottom="1440" w:left="1797" w:header="851" w:footer="992" w:gutter="0"/>
      <w:pgNumType w:fmt="numberInDash"/>
      <w:cols w:space="425" w:num="1"/>
      <w:titlePg/>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小标宋">
    <w:altName w:val="宋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E45E8">
    <w:pPr>
      <w:pStyle w:val="7"/>
      <w:framePr w:wrap="around" w:vAnchor="text" w:hAnchor="margin" w:xAlign="outside" w:y="1"/>
      <w:rPr>
        <w:rStyle w:val="16"/>
        <w:rFonts w:ascii="Times New Roman" w:hAnsi="Times New Roman"/>
        <w:sz w:val="28"/>
        <w:szCs w:val="28"/>
      </w:rPr>
    </w:pPr>
    <w:r>
      <w:rPr>
        <w:rStyle w:val="16"/>
        <w:rFonts w:ascii="Times New Roman" w:hAnsi="Times New Roman"/>
        <w:sz w:val="28"/>
        <w:szCs w:val="28"/>
      </w:rPr>
      <w:fldChar w:fldCharType="begin"/>
    </w:r>
    <w:r>
      <w:rPr>
        <w:rStyle w:val="16"/>
        <w:rFonts w:ascii="Times New Roman" w:hAnsi="Times New Roman"/>
        <w:sz w:val="28"/>
        <w:szCs w:val="28"/>
      </w:rPr>
      <w:instrText xml:space="preserve">PAGE  </w:instrText>
    </w:r>
    <w:r>
      <w:rPr>
        <w:rStyle w:val="16"/>
        <w:rFonts w:ascii="Times New Roman" w:hAnsi="Times New Roman"/>
        <w:sz w:val="28"/>
        <w:szCs w:val="28"/>
      </w:rPr>
      <w:fldChar w:fldCharType="separate"/>
    </w:r>
    <w:r>
      <w:rPr>
        <w:rStyle w:val="16"/>
        <w:rFonts w:ascii="Times New Roman" w:hAnsi="Times New Roman"/>
        <w:sz w:val="28"/>
        <w:szCs w:val="28"/>
      </w:rPr>
      <w:t>- 10 -</w:t>
    </w:r>
    <w:r>
      <w:rPr>
        <w:rStyle w:val="16"/>
        <w:rFonts w:ascii="Times New Roman" w:hAnsi="Times New Roman"/>
        <w:sz w:val="28"/>
        <w:szCs w:val="28"/>
      </w:rPr>
      <w:fldChar w:fldCharType="end"/>
    </w:r>
  </w:p>
  <w:p w14:paraId="4AA580A0">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2FD79">
    <w:pPr>
      <w:pStyle w:val="7"/>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end"/>
    </w:r>
  </w:p>
  <w:p w14:paraId="2C2007C9">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1MDJiZmY5YmU3NjllMmY2NmJkNmRmZmMxNzhmNjQifQ=="/>
  </w:docVars>
  <w:rsids>
    <w:rsidRoot w:val="00C553EF"/>
    <w:rsid w:val="00012C93"/>
    <w:rsid w:val="000734E3"/>
    <w:rsid w:val="000773D5"/>
    <w:rsid w:val="00080625"/>
    <w:rsid w:val="00093B9D"/>
    <w:rsid w:val="00094646"/>
    <w:rsid w:val="000A561A"/>
    <w:rsid w:val="000D5E7F"/>
    <w:rsid w:val="000E2B59"/>
    <w:rsid w:val="000F775C"/>
    <w:rsid w:val="00135131"/>
    <w:rsid w:val="00135395"/>
    <w:rsid w:val="00184AF2"/>
    <w:rsid w:val="001A7CAB"/>
    <w:rsid w:val="001B56F4"/>
    <w:rsid w:val="001B69B6"/>
    <w:rsid w:val="001B6D56"/>
    <w:rsid w:val="00220A85"/>
    <w:rsid w:val="002238BB"/>
    <w:rsid w:val="00225BED"/>
    <w:rsid w:val="00227C9D"/>
    <w:rsid w:val="002320EB"/>
    <w:rsid w:val="002A03D6"/>
    <w:rsid w:val="002D01D7"/>
    <w:rsid w:val="002F05A3"/>
    <w:rsid w:val="003056F3"/>
    <w:rsid w:val="003126FC"/>
    <w:rsid w:val="00323CF3"/>
    <w:rsid w:val="0032533F"/>
    <w:rsid w:val="003A1408"/>
    <w:rsid w:val="003B7F5C"/>
    <w:rsid w:val="003E1FD6"/>
    <w:rsid w:val="003E5841"/>
    <w:rsid w:val="003F1540"/>
    <w:rsid w:val="004148E0"/>
    <w:rsid w:val="004217FE"/>
    <w:rsid w:val="00440BFE"/>
    <w:rsid w:val="00463FD5"/>
    <w:rsid w:val="00474AD0"/>
    <w:rsid w:val="00487AC5"/>
    <w:rsid w:val="00496F05"/>
    <w:rsid w:val="004D5652"/>
    <w:rsid w:val="00537950"/>
    <w:rsid w:val="00551D43"/>
    <w:rsid w:val="00566BA9"/>
    <w:rsid w:val="00581EEE"/>
    <w:rsid w:val="005851E9"/>
    <w:rsid w:val="00591495"/>
    <w:rsid w:val="00594AEE"/>
    <w:rsid w:val="006264B7"/>
    <w:rsid w:val="006964D9"/>
    <w:rsid w:val="006F37DA"/>
    <w:rsid w:val="007123D7"/>
    <w:rsid w:val="00713B58"/>
    <w:rsid w:val="00714A28"/>
    <w:rsid w:val="00751BF0"/>
    <w:rsid w:val="00764972"/>
    <w:rsid w:val="00771B0E"/>
    <w:rsid w:val="007A6F2C"/>
    <w:rsid w:val="007B3731"/>
    <w:rsid w:val="007C3C5A"/>
    <w:rsid w:val="007E2D1B"/>
    <w:rsid w:val="007E3E71"/>
    <w:rsid w:val="008241E1"/>
    <w:rsid w:val="00847A3C"/>
    <w:rsid w:val="00893AEC"/>
    <w:rsid w:val="00940D4A"/>
    <w:rsid w:val="00971DB4"/>
    <w:rsid w:val="0097394E"/>
    <w:rsid w:val="009D0C0A"/>
    <w:rsid w:val="00A0127D"/>
    <w:rsid w:val="00A148B9"/>
    <w:rsid w:val="00A2187E"/>
    <w:rsid w:val="00A3605E"/>
    <w:rsid w:val="00A377C0"/>
    <w:rsid w:val="00A55C61"/>
    <w:rsid w:val="00A801F4"/>
    <w:rsid w:val="00AC12C1"/>
    <w:rsid w:val="00AC5F31"/>
    <w:rsid w:val="00AF15ED"/>
    <w:rsid w:val="00B049DD"/>
    <w:rsid w:val="00B17D23"/>
    <w:rsid w:val="00B62F82"/>
    <w:rsid w:val="00B702EE"/>
    <w:rsid w:val="00B86511"/>
    <w:rsid w:val="00B86BA1"/>
    <w:rsid w:val="00B9399A"/>
    <w:rsid w:val="00BD4955"/>
    <w:rsid w:val="00C23636"/>
    <w:rsid w:val="00C553EF"/>
    <w:rsid w:val="00C641BD"/>
    <w:rsid w:val="00C91F4C"/>
    <w:rsid w:val="00C9428C"/>
    <w:rsid w:val="00CA7EEA"/>
    <w:rsid w:val="00CC6012"/>
    <w:rsid w:val="00CD7E4E"/>
    <w:rsid w:val="00CE4DFE"/>
    <w:rsid w:val="00CF0AA7"/>
    <w:rsid w:val="00D64926"/>
    <w:rsid w:val="00D74987"/>
    <w:rsid w:val="00D812AD"/>
    <w:rsid w:val="00D8620A"/>
    <w:rsid w:val="00D90B2D"/>
    <w:rsid w:val="00DC7EE1"/>
    <w:rsid w:val="00DD4AA2"/>
    <w:rsid w:val="00DD5A15"/>
    <w:rsid w:val="00DE3995"/>
    <w:rsid w:val="00E01819"/>
    <w:rsid w:val="00E039BF"/>
    <w:rsid w:val="00E323CD"/>
    <w:rsid w:val="00E8571A"/>
    <w:rsid w:val="00E94B12"/>
    <w:rsid w:val="00EF0339"/>
    <w:rsid w:val="00EF16FF"/>
    <w:rsid w:val="00F137EB"/>
    <w:rsid w:val="00F2080B"/>
    <w:rsid w:val="00F55DE1"/>
    <w:rsid w:val="00FA2BB2"/>
    <w:rsid w:val="00FC450D"/>
    <w:rsid w:val="00FD081E"/>
    <w:rsid w:val="00FE100B"/>
    <w:rsid w:val="00FE4826"/>
    <w:rsid w:val="01247546"/>
    <w:rsid w:val="016D6E1B"/>
    <w:rsid w:val="017165B7"/>
    <w:rsid w:val="0192652E"/>
    <w:rsid w:val="024B4A51"/>
    <w:rsid w:val="025804A5"/>
    <w:rsid w:val="026522DA"/>
    <w:rsid w:val="028D58A7"/>
    <w:rsid w:val="03043E77"/>
    <w:rsid w:val="034D6BA5"/>
    <w:rsid w:val="03662B43"/>
    <w:rsid w:val="0369748B"/>
    <w:rsid w:val="03C230FA"/>
    <w:rsid w:val="04087CA9"/>
    <w:rsid w:val="04714B20"/>
    <w:rsid w:val="051017B6"/>
    <w:rsid w:val="05AA653C"/>
    <w:rsid w:val="06FC7EBC"/>
    <w:rsid w:val="073A744C"/>
    <w:rsid w:val="075C1AB8"/>
    <w:rsid w:val="08362309"/>
    <w:rsid w:val="08514A4D"/>
    <w:rsid w:val="089E711B"/>
    <w:rsid w:val="08A76D63"/>
    <w:rsid w:val="099866AB"/>
    <w:rsid w:val="09A4247A"/>
    <w:rsid w:val="09D73678"/>
    <w:rsid w:val="0ABD461B"/>
    <w:rsid w:val="0AF6620D"/>
    <w:rsid w:val="0B1D50BA"/>
    <w:rsid w:val="0B266665"/>
    <w:rsid w:val="0B353990"/>
    <w:rsid w:val="0B3A5C6C"/>
    <w:rsid w:val="0BE5207C"/>
    <w:rsid w:val="0C3B6140"/>
    <w:rsid w:val="0CE045F1"/>
    <w:rsid w:val="0D470B14"/>
    <w:rsid w:val="0D4C414A"/>
    <w:rsid w:val="0D6C5618"/>
    <w:rsid w:val="0DBD284F"/>
    <w:rsid w:val="0DDA06ED"/>
    <w:rsid w:val="0E5F2D7D"/>
    <w:rsid w:val="0EC046DA"/>
    <w:rsid w:val="0EEE7499"/>
    <w:rsid w:val="0F262ACD"/>
    <w:rsid w:val="0F475B29"/>
    <w:rsid w:val="0FA20284"/>
    <w:rsid w:val="0FF3288D"/>
    <w:rsid w:val="10282537"/>
    <w:rsid w:val="106B68C8"/>
    <w:rsid w:val="10727C56"/>
    <w:rsid w:val="115B2212"/>
    <w:rsid w:val="116220E5"/>
    <w:rsid w:val="12241424"/>
    <w:rsid w:val="1235718D"/>
    <w:rsid w:val="123A5043"/>
    <w:rsid w:val="12850115"/>
    <w:rsid w:val="12952699"/>
    <w:rsid w:val="138E17D4"/>
    <w:rsid w:val="13C54541"/>
    <w:rsid w:val="14123E7B"/>
    <w:rsid w:val="1428348A"/>
    <w:rsid w:val="142F3A6E"/>
    <w:rsid w:val="14F4517E"/>
    <w:rsid w:val="1577373D"/>
    <w:rsid w:val="159348F7"/>
    <w:rsid w:val="15DA6FC6"/>
    <w:rsid w:val="15DF5D8E"/>
    <w:rsid w:val="162D2A9A"/>
    <w:rsid w:val="16EB42BE"/>
    <w:rsid w:val="170F61FF"/>
    <w:rsid w:val="178925A0"/>
    <w:rsid w:val="18891FE1"/>
    <w:rsid w:val="188E43A5"/>
    <w:rsid w:val="18934E7A"/>
    <w:rsid w:val="197C60F6"/>
    <w:rsid w:val="19C33BFB"/>
    <w:rsid w:val="19E971DB"/>
    <w:rsid w:val="1A294F8E"/>
    <w:rsid w:val="1A37310C"/>
    <w:rsid w:val="1A466BC3"/>
    <w:rsid w:val="1AAA38E8"/>
    <w:rsid w:val="1B570174"/>
    <w:rsid w:val="1BA65613"/>
    <w:rsid w:val="1BD7375F"/>
    <w:rsid w:val="1C78607A"/>
    <w:rsid w:val="1CF814E3"/>
    <w:rsid w:val="1D554B87"/>
    <w:rsid w:val="1DCA10D2"/>
    <w:rsid w:val="1DD0549A"/>
    <w:rsid w:val="1DDE4B7D"/>
    <w:rsid w:val="1E04525C"/>
    <w:rsid w:val="1E2C7696"/>
    <w:rsid w:val="1E6E4153"/>
    <w:rsid w:val="1E951267"/>
    <w:rsid w:val="1EFC2612"/>
    <w:rsid w:val="1F225B30"/>
    <w:rsid w:val="1F8A4FBC"/>
    <w:rsid w:val="1F985F2D"/>
    <w:rsid w:val="1FD219CC"/>
    <w:rsid w:val="1FD32099"/>
    <w:rsid w:val="1FFC3C57"/>
    <w:rsid w:val="20F961D8"/>
    <w:rsid w:val="213F5933"/>
    <w:rsid w:val="214E3DC8"/>
    <w:rsid w:val="217D46AD"/>
    <w:rsid w:val="21D52B40"/>
    <w:rsid w:val="22364D58"/>
    <w:rsid w:val="228E4DC3"/>
    <w:rsid w:val="22BF31CF"/>
    <w:rsid w:val="22EA70C8"/>
    <w:rsid w:val="234026DC"/>
    <w:rsid w:val="246A53BC"/>
    <w:rsid w:val="251130A9"/>
    <w:rsid w:val="25233496"/>
    <w:rsid w:val="256C7C40"/>
    <w:rsid w:val="25D50B97"/>
    <w:rsid w:val="26475264"/>
    <w:rsid w:val="267A740D"/>
    <w:rsid w:val="26803816"/>
    <w:rsid w:val="268B33C8"/>
    <w:rsid w:val="2790513A"/>
    <w:rsid w:val="27B318D8"/>
    <w:rsid w:val="280D4D2B"/>
    <w:rsid w:val="286B1703"/>
    <w:rsid w:val="28C1428B"/>
    <w:rsid w:val="298A6517"/>
    <w:rsid w:val="29DB01C2"/>
    <w:rsid w:val="29F6324E"/>
    <w:rsid w:val="2A0D0FEB"/>
    <w:rsid w:val="2A3224D8"/>
    <w:rsid w:val="2A50295E"/>
    <w:rsid w:val="2AD271B2"/>
    <w:rsid w:val="2AFB3BAB"/>
    <w:rsid w:val="2B3C2EE3"/>
    <w:rsid w:val="2BA70961"/>
    <w:rsid w:val="2BA75A43"/>
    <w:rsid w:val="2BD01692"/>
    <w:rsid w:val="2C2C2F57"/>
    <w:rsid w:val="2C824507"/>
    <w:rsid w:val="2C97099F"/>
    <w:rsid w:val="2CA61530"/>
    <w:rsid w:val="2CB01DDA"/>
    <w:rsid w:val="2CBD0053"/>
    <w:rsid w:val="2D7158B8"/>
    <w:rsid w:val="2D872B3B"/>
    <w:rsid w:val="2D91641F"/>
    <w:rsid w:val="2E4F7ADF"/>
    <w:rsid w:val="2E5F13C2"/>
    <w:rsid w:val="2E660FDE"/>
    <w:rsid w:val="2E807B15"/>
    <w:rsid w:val="2F191968"/>
    <w:rsid w:val="2F1A3167"/>
    <w:rsid w:val="2F48454C"/>
    <w:rsid w:val="2F667B17"/>
    <w:rsid w:val="2F976672"/>
    <w:rsid w:val="2FEF0095"/>
    <w:rsid w:val="301E7ABA"/>
    <w:rsid w:val="30450A8C"/>
    <w:rsid w:val="30886ABC"/>
    <w:rsid w:val="30930776"/>
    <w:rsid w:val="30AE7F88"/>
    <w:rsid w:val="311F12DD"/>
    <w:rsid w:val="31C61758"/>
    <w:rsid w:val="31D85825"/>
    <w:rsid w:val="32022CFB"/>
    <w:rsid w:val="32F52653"/>
    <w:rsid w:val="32F82AEF"/>
    <w:rsid w:val="33811DDB"/>
    <w:rsid w:val="345D2848"/>
    <w:rsid w:val="348E1040"/>
    <w:rsid w:val="348E4825"/>
    <w:rsid w:val="34A75F0C"/>
    <w:rsid w:val="34BC6025"/>
    <w:rsid w:val="358838F4"/>
    <w:rsid w:val="35AD5109"/>
    <w:rsid w:val="35CF5088"/>
    <w:rsid w:val="3619279E"/>
    <w:rsid w:val="36383696"/>
    <w:rsid w:val="36444B80"/>
    <w:rsid w:val="368F0CB2"/>
    <w:rsid w:val="38156F95"/>
    <w:rsid w:val="38557F52"/>
    <w:rsid w:val="385D4C77"/>
    <w:rsid w:val="38967754"/>
    <w:rsid w:val="38FD3FB5"/>
    <w:rsid w:val="39237555"/>
    <w:rsid w:val="398B5761"/>
    <w:rsid w:val="39E71901"/>
    <w:rsid w:val="3A9149EF"/>
    <w:rsid w:val="3AAF36D1"/>
    <w:rsid w:val="3AB26D1E"/>
    <w:rsid w:val="3B732951"/>
    <w:rsid w:val="3B910815"/>
    <w:rsid w:val="3BAD6395"/>
    <w:rsid w:val="3BB23479"/>
    <w:rsid w:val="3C1A101E"/>
    <w:rsid w:val="3CA32DC2"/>
    <w:rsid w:val="3D74192F"/>
    <w:rsid w:val="3D9F5811"/>
    <w:rsid w:val="3DA74441"/>
    <w:rsid w:val="3DC37683"/>
    <w:rsid w:val="3DC916C1"/>
    <w:rsid w:val="3E111FAD"/>
    <w:rsid w:val="3EF97062"/>
    <w:rsid w:val="3F0E6460"/>
    <w:rsid w:val="3F52287D"/>
    <w:rsid w:val="3F7942AE"/>
    <w:rsid w:val="3F8F587F"/>
    <w:rsid w:val="3FE07E89"/>
    <w:rsid w:val="3FEE25A6"/>
    <w:rsid w:val="401E6B8A"/>
    <w:rsid w:val="402E6E46"/>
    <w:rsid w:val="40EB7C06"/>
    <w:rsid w:val="416B7C26"/>
    <w:rsid w:val="417F6B65"/>
    <w:rsid w:val="4191768D"/>
    <w:rsid w:val="41C61B6B"/>
    <w:rsid w:val="41C9151C"/>
    <w:rsid w:val="427F607F"/>
    <w:rsid w:val="428D254A"/>
    <w:rsid w:val="42935ABC"/>
    <w:rsid w:val="429377FA"/>
    <w:rsid w:val="42B5384F"/>
    <w:rsid w:val="43467657"/>
    <w:rsid w:val="43525BF8"/>
    <w:rsid w:val="43CC05E0"/>
    <w:rsid w:val="43E066A9"/>
    <w:rsid w:val="441775F9"/>
    <w:rsid w:val="44A75419"/>
    <w:rsid w:val="454E66D8"/>
    <w:rsid w:val="457E5DB6"/>
    <w:rsid w:val="46405B25"/>
    <w:rsid w:val="464114D8"/>
    <w:rsid w:val="4644624C"/>
    <w:rsid w:val="46532948"/>
    <w:rsid w:val="46F34AE9"/>
    <w:rsid w:val="47305B9A"/>
    <w:rsid w:val="473F7B8B"/>
    <w:rsid w:val="477261B2"/>
    <w:rsid w:val="477F3518"/>
    <w:rsid w:val="47D32ABC"/>
    <w:rsid w:val="488C5052"/>
    <w:rsid w:val="48EB39D6"/>
    <w:rsid w:val="49CB3958"/>
    <w:rsid w:val="49FF63D0"/>
    <w:rsid w:val="4A070E34"/>
    <w:rsid w:val="4A143551"/>
    <w:rsid w:val="4A914BA1"/>
    <w:rsid w:val="4B187071"/>
    <w:rsid w:val="4B9A2442"/>
    <w:rsid w:val="4CB15087"/>
    <w:rsid w:val="4D4018A7"/>
    <w:rsid w:val="4E47299C"/>
    <w:rsid w:val="4E873E5B"/>
    <w:rsid w:val="4EBB21ED"/>
    <w:rsid w:val="4F0A4F22"/>
    <w:rsid w:val="4FE13ED5"/>
    <w:rsid w:val="4FEC5123"/>
    <w:rsid w:val="5017696A"/>
    <w:rsid w:val="50615016"/>
    <w:rsid w:val="50B479BD"/>
    <w:rsid w:val="50EB325B"/>
    <w:rsid w:val="512978E2"/>
    <w:rsid w:val="515B3458"/>
    <w:rsid w:val="518C5952"/>
    <w:rsid w:val="51972132"/>
    <w:rsid w:val="519B6306"/>
    <w:rsid w:val="51C63383"/>
    <w:rsid w:val="521C56DD"/>
    <w:rsid w:val="521C7446"/>
    <w:rsid w:val="523A167B"/>
    <w:rsid w:val="52880638"/>
    <w:rsid w:val="52F83D36"/>
    <w:rsid w:val="53092038"/>
    <w:rsid w:val="533D58C6"/>
    <w:rsid w:val="534A7FE3"/>
    <w:rsid w:val="53A06203"/>
    <w:rsid w:val="53DF57C7"/>
    <w:rsid w:val="543640C4"/>
    <w:rsid w:val="551C775D"/>
    <w:rsid w:val="552F123F"/>
    <w:rsid w:val="553B4087"/>
    <w:rsid w:val="56496330"/>
    <w:rsid w:val="565C6063"/>
    <w:rsid w:val="56835CE6"/>
    <w:rsid w:val="568E38AB"/>
    <w:rsid w:val="569F41A2"/>
    <w:rsid w:val="56A45C5C"/>
    <w:rsid w:val="56B57E6A"/>
    <w:rsid w:val="56C149B2"/>
    <w:rsid w:val="56C360E3"/>
    <w:rsid w:val="56E46059"/>
    <w:rsid w:val="571C6718"/>
    <w:rsid w:val="57217FDA"/>
    <w:rsid w:val="57325016"/>
    <w:rsid w:val="5754456C"/>
    <w:rsid w:val="57C2639A"/>
    <w:rsid w:val="58533496"/>
    <w:rsid w:val="590C005A"/>
    <w:rsid w:val="5A8262B5"/>
    <w:rsid w:val="5B411CCC"/>
    <w:rsid w:val="5B68572F"/>
    <w:rsid w:val="5C2F64BB"/>
    <w:rsid w:val="5C734262"/>
    <w:rsid w:val="5CAC586B"/>
    <w:rsid w:val="5CCD54FA"/>
    <w:rsid w:val="5CDD77D2"/>
    <w:rsid w:val="5DA10603"/>
    <w:rsid w:val="5DD24E5D"/>
    <w:rsid w:val="5DFC4103"/>
    <w:rsid w:val="5DFF104D"/>
    <w:rsid w:val="5E4A6B29"/>
    <w:rsid w:val="5EE34D7F"/>
    <w:rsid w:val="5EFE1BD4"/>
    <w:rsid w:val="5FE3096D"/>
    <w:rsid w:val="5FF92B75"/>
    <w:rsid w:val="603D5158"/>
    <w:rsid w:val="607E307A"/>
    <w:rsid w:val="609A4BD3"/>
    <w:rsid w:val="60A54AAB"/>
    <w:rsid w:val="61686204"/>
    <w:rsid w:val="62683FE2"/>
    <w:rsid w:val="62E15151"/>
    <w:rsid w:val="62F62474"/>
    <w:rsid w:val="637F424B"/>
    <w:rsid w:val="63836F3A"/>
    <w:rsid w:val="638B7F88"/>
    <w:rsid w:val="63E94CAF"/>
    <w:rsid w:val="640815D9"/>
    <w:rsid w:val="65257F68"/>
    <w:rsid w:val="653A53AE"/>
    <w:rsid w:val="65D50ABD"/>
    <w:rsid w:val="65F07DFC"/>
    <w:rsid w:val="660F3E25"/>
    <w:rsid w:val="6615622F"/>
    <w:rsid w:val="662E109F"/>
    <w:rsid w:val="66576BB8"/>
    <w:rsid w:val="666351EC"/>
    <w:rsid w:val="668533B4"/>
    <w:rsid w:val="66B91727"/>
    <w:rsid w:val="66BD51B4"/>
    <w:rsid w:val="674B1DDA"/>
    <w:rsid w:val="67595005"/>
    <w:rsid w:val="67FE3C1B"/>
    <w:rsid w:val="68427403"/>
    <w:rsid w:val="684D7F02"/>
    <w:rsid w:val="68B17E37"/>
    <w:rsid w:val="68F14119"/>
    <w:rsid w:val="69766485"/>
    <w:rsid w:val="697D0A59"/>
    <w:rsid w:val="69F148BD"/>
    <w:rsid w:val="6A266B02"/>
    <w:rsid w:val="6A7925F7"/>
    <w:rsid w:val="6ABC7C94"/>
    <w:rsid w:val="6ACB7804"/>
    <w:rsid w:val="6AF26B3F"/>
    <w:rsid w:val="6AF80B9B"/>
    <w:rsid w:val="6B120F8F"/>
    <w:rsid w:val="6B403B44"/>
    <w:rsid w:val="6B421874"/>
    <w:rsid w:val="6BAD2A66"/>
    <w:rsid w:val="6BEA2454"/>
    <w:rsid w:val="6C501D6F"/>
    <w:rsid w:val="6C7C7008"/>
    <w:rsid w:val="6C9F2CF6"/>
    <w:rsid w:val="6CA05869"/>
    <w:rsid w:val="6CA95923"/>
    <w:rsid w:val="6CDE3E9F"/>
    <w:rsid w:val="6D2A2B88"/>
    <w:rsid w:val="6DC30759"/>
    <w:rsid w:val="6E4F6481"/>
    <w:rsid w:val="6E641B01"/>
    <w:rsid w:val="6E662A6A"/>
    <w:rsid w:val="6E957F0D"/>
    <w:rsid w:val="6F1A57AF"/>
    <w:rsid w:val="6F7915DC"/>
    <w:rsid w:val="6FC84312"/>
    <w:rsid w:val="70221C74"/>
    <w:rsid w:val="7040034C"/>
    <w:rsid w:val="70417457"/>
    <w:rsid w:val="71125845"/>
    <w:rsid w:val="71A21035"/>
    <w:rsid w:val="71B20DD6"/>
    <w:rsid w:val="71FB6BAE"/>
    <w:rsid w:val="72135E5F"/>
    <w:rsid w:val="725708D2"/>
    <w:rsid w:val="72710C91"/>
    <w:rsid w:val="72A03324"/>
    <w:rsid w:val="72A050D2"/>
    <w:rsid w:val="72BB015E"/>
    <w:rsid w:val="72BF19FC"/>
    <w:rsid w:val="735A7977"/>
    <w:rsid w:val="739C2685"/>
    <w:rsid w:val="73A66718"/>
    <w:rsid w:val="74177616"/>
    <w:rsid w:val="74212B0D"/>
    <w:rsid w:val="74424693"/>
    <w:rsid w:val="756F711B"/>
    <w:rsid w:val="7589009F"/>
    <w:rsid w:val="761E4C8C"/>
    <w:rsid w:val="76647254"/>
    <w:rsid w:val="76D417E3"/>
    <w:rsid w:val="76D57A40"/>
    <w:rsid w:val="77150E1A"/>
    <w:rsid w:val="772938E8"/>
    <w:rsid w:val="773A3B3B"/>
    <w:rsid w:val="77935DDC"/>
    <w:rsid w:val="77A24B7F"/>
    <w:rsid w:val="78AA0A59"/>
    <w:rsid w:val="78EE303B"/>
    <w:rsid w:val="79D94236"/>
    <w:rsid w:val="79FF6D5B"/>
    <w:rsid w:val="7A9D67A7"/>
    <w:rsid w:val="7AA240DD"/>
    <w:rsid w:val="7B3B3EC4"/>
    <w:rsid w:val="7B413C32"/>
    <w:rsid w:val="7C79442F"/>
    <w:rsid w:val="7C8D3B7E"/>
    <w:rsid w:val="7CA345C3"/>
    <w:rsid w:val="7CE0713F"/>
    <w:rsid w:val="7DE65EF4"/>
    <w:rsid w:val="7DEC38C1"/>
    <w:rsid w:val="7DED10C4"/>
    <w:rsid w:val="7EB77A2B"/>
    <w:rsid w:val="7F280929"/>
    <w:rsid w:val="7F4A2182"/>
    <w:rsid w:val="7F531EB8"/>
    <w:rsid w:val="7F8A3392"/>
    <w:rsid w:val="7F910F92"/>
    <w:rsid w:val="7FE55600"/>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semiHidden="0" w:name="index 7"/>
    <w:lsdException w:uiPriority="99" w:name="index 8"/>
    <w:lsdException w:uiPriority="99" w:name="index 9"/>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unhideWhenUsed/>
    <w:qFormat/>
    <w:locked/>
    <w:uiPriority w:val="0"/>
    <w:pPr>
      <w:keepNext/>
      <w:keepLines/>
      <w:spacing w:before="240" w:after="240" w:line="360" w:lineRule="auto"/>
      <w:outlineLvl w:val="3"/>
    </w:pPr>
    <w:rPr>
      <w:rFonts w:ascii="Calibri Light" w:hAnsi="Calibri Light" w:cs="Times New Roman"/>
      <w:b/>
      <w:bCs/>
      <w:sz w:val="32"/>
      <w:szCs w:val="28"/>
    </w:rPr>
  </w:style>
  <w:style w:type="character" w:default="1" w:styleId="15">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8"/>
    <w:autoRedefine/>
    <w:qFormat/>
    <w:uiPriority w:val="99"/>
    <w:pPr>
      <w:jc w:val="left"/>
    </w:pPr>
    <w:rPr>
      <w:rFonts w:ascii="Times New Roman" w:hAnsi="Times New Roman"/>
      <w:szCs w:val="24"/>
    </w:rPr>
  </w:style>
  <w:style w:type="paragraph" w:styleId="4">
    <w:name w:val="Body Text"/>
    <w:basedOn w:val="1"/>
    <w:next w:val="5"/>
    <w:autoRedefine/>
    <w:qFormat/>
    <w:uiPriority w:val="0"/>
    <w:pPr>
      <w:spacing w:after="120" w:afterLines="0"/>
    </w:pPr>
  </w:style>
  <w:style w:type="paragraph" w:customStyle="1" w:styleId="5">
    <w:name w:val="Body Text First Indent1"/>
    <w:basedOn w:val="4"/>
    <w:autoRedefine/>
    <w:qFormat/>
    <w:uiPriority w:val="0"/>
    <w:pPr>
      <w:spacing w:line="360" w:lineRule="auto"/>
      <w:ind w:firstLine="420" w:firstLineChars="100"/>
    </w:pPr>
    <w:rPr>
      <w:szCs w:val="24"/>
    </w:rPr>
  </w:style>
  <w:style w:type="paragraph" w:styleId="6">
    <w:name w:val="Balloon Text"/>
    <w:basedOn w:val="1"/>
    <w:link w:val="19"/>
    <w:autoRedefine/>
    <w:qFormat/>
    <w:uiPriority w:val="99"/>
    <w:rPr>
      <w:rFonts w:ascii="Times New Roman" w:hAnsi="Times New Roman"/>
      <w:sz w:val="18"/>
      <w:szCs w:val="18"/>
    </w:rPr>
  </w:style>
  <w:style w:type="paragraph" w:styleId="7">
    <w:name w:val="footer"/>
    <w:basedOn w:val="1"/>
    <w:link w:val="20"/>
    <w:autoRedefine/>
    <w:qFormat/>
    <w:uiPriority w:val="99"/>
    <w:pPr>
      <w:tabs>
        <w:tab w:val="center" w:pos="4153"/>
        <w:tab w:val="right" w:pos="8306"/>
      </w:tabs>
      <w:snapToGrid w:val="0"/>
      <w:jc w:val="left"/>
    </w:pPr>
    <w:rPr>
      <w:sz w:val="18"/>
      <w:szCs w:val="18"/>
    </w:rPr>
  </w:style>
  <w:style w:type="paragraph" w:styleId="8">
    <w:name w:val="header"/>
    <w:basedOn w:val="1"/>
    <w:link w:val="21"/>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locked/>
    <w:uiPriority w:val="0"/>
  </w:style>
  <w:style w:type="paragraph" w:styleId="10">
    <w:name w:val="index 7"/>
    <w:basedOn w:val="1"/>
    <w:next w:val="1"/>
    <w:autoRedefine/>
    <w:unhideWhenUsed/>
    <w:qFormat/>
    <w:uiPriority w:val="99"/>
    <w:pPr>
      <w:ind w:left="1200" w:leftChars="1200"/>
    </w:pPr>
  </w:style>
  <w:style w:type="paragraph" w:styleId="11">
    <w:name w:val="Normal (Web)"/>
    <w:basedOn w:val="1"/>
    <w:autoRedefine/>
    <w:semiHidden/>
    <w:qFormat/>
    <w:uiPriority w:val="99"/>
    <w:pPr>
      <w:widowControl/>
      <w:spacing w:before="100" w:beforeAutospacing="1" w:after="100" w:afterAutospacing="1"/>
      <w:jc w:val="left"/>
    </w:pPr>
    <w:rPr>
      <w:rFonts w:ascii="宋体" w:hAnsi="宋体" w:cs="宋体"/>
      <w:kern w:val="0"/>
      <w:sz w:val="24"/>
      <w:szCs w:val="24"/>
    </w:rPr>
  </w:style>
  <w:style w:type="paragraph" w:styleId="12">
    <w:name w:val="Body Text First Indent"/>
    <w:basedOn w:val="4"/>
    <w:autoRedefine/>
    <w:qFormat/>
    <w:uiPriority w:val="0"/>
    <w:pPr>
      <w:spacing w:after="0" w:afterLines="0" w:line="240" w:lineRule="atLeast"/>
      <w:ind w:firstLine="420" w:firstLineChars="100"/>
    </w:pPr>
    <w:rPr>
      <w:rFonts w:ascii="宋体" w:hAnsi="宋体" w:eastAsia="小标宋" w:cs="Times New Roman"/>
      <w:sz w:val="44"/>
      <w:szCs w:val="32"/>
    </w:rPr>
  </w:style>
  <w:style w:type="paragraph" w:styleId="13">
    <w:name w:val="Body Text First Indent 2"/>
    <w:basedOn w:val="1"/>
    <w:autoRedefine/>
    <w:qFormat/>
    <w:uiPriority w:val="99"/>
    <w:pPr>
      <w:ind w:firstLine="420"/>
    </w:pPr>
  </w:style>
  <w:style w:type="character" w:styleId="16">
    <w:name w:val="page number"/>
    <w:basedOn w:val="15"/>
    <w:autoRedefine/>
    <w:qFormat/>
    <w:uiPriority w:val="99"/>
    <w:rPr>
      <w:rFonts w:cs="Times New Roman"/>
    </w:rPr>
  </w:style>
  <w:style w:type="character" w:styleId="17">
    <w:name w:val="annotation reference"/>
    <w:basedOn w:val="15"/>
    <w:autoRedefine/>
    <w:qFormat/>
    <w:uiPriority w:val="99"/>
    <w:rPr>
      <w:rFonts w:cs="Times New Roman"/>
      <w:sz w:val="21"/>
      <w:szCs w:val="21"/>
    </w:rPr>
  </w:style>
  <w:style w:type="character" w:customStyle="1" w:styleId="18">
    <w:name w:val="批注文字 Char"/>
    <w:basedOn w:val="15"/>
    <w:link w:val="3"/>
    <w:autoRedefine/>
    <w:qFormat/>
    <w:locked/>
    <w:uiPriority w:val="99"/>
    <w:rPr>
      <w:rFonts w:ascii="Times New Roman" w:hAnsi="Times New Roman" w:eastAsia="宋体" w:cs="Times New Roman"/>
      <w:sz w:val="24"/>
      <w:szCs w:val="24"/>
    </w:rPr>
  </w:style>
  <w:style w:type="character" w:customStyle="1" w:styleId="19">
    <w:name w:val="批注框文本 Char"/>
    <w:basedOn w:val="15"/>
    <w:link w:val="6"/>
    <w:autoRedefine/>
    <w:qFormat/>
    <w:locked/>
    <w:uiPriority w:val="99"/>
    <w:rPr>
      <w:rFonts w:ascii="Times New Roman" w:hAnsi="Times New Roman" w:eastAsia="宋体" w:cs="Times New Roman"/>
      <w:sz w:val="18"/>
      <w:szCs w:val="18"/>
    </w:rPr>
  </w:style>
  <w:style w:type="character" w:customStyle="1" w:styleId="20">
    <w:name w:val="页脚 Char"/>
    <w:basedOn w:val="15"/>
    <w:link w:val="7"/>
    <w:autoRedefine/>
    <w:qFormat/>
    <w:locked/>
    <w:uiPriority w:val="99"/>
    <w:rPr>
      <w:rFonts w:cs="Times New Roman"/>
      <w:sz w:val="18"/>
      <w:szCs w:val="18"/>
    </w:rPr>
  </w:style>
  <w:style w:type="character" w:customStyle="1" w:styleId="21">
    <w:name w:val="页眉 Char"/>
    <w:basedOn w:val="15"/>
    <w:link w:val="8"/>
    <w:autoRedefine/>
    <w:qFormat/>
    <w:locked/>
    <w:uiPriority w:val="99"/>
    <w:rPr>
      <w:rFonts w:cs="Times New Roman"/>
      <w:sz w:val="18"/>
      <w:szCs w:val="18"/>
    </w:rPr>
  </w:style>
  <w:style w:type="paragraph" w:customStyle="1" w:styleId="22">
    <w:name w:val="列出段落1"/>
    <w:basedOn w:val="1"/>
    <w:autoRedefine/>
    <w:qFormat/>
    <w:uiPriority w:val="99"/>
    <w:pPr>
      <w:ind w:firstLine="420" w:firstLineChars="200"/>
    </w:pPr>
    <w:rPr>
      <w:rFonts w:ascii="Times New Roman" w:hAnsi="Times New Roman"/>
      <w:szCs w:val="24"/>
    </w:rPr>
  </w:style>
  <w:style w:type="paragraph" w:styleId="23">
    <w:name w:val="List Paragraph"/>
    <w:basedOn w:val="1"/>
    <w:autoRedefine/>
    <w:qFormat/>
    <w:uiPriority w:val="99"/>
    <w:pPr>
      <w:ind w:firstLine="420" w:firstLineChars="200"/>
    </w:pPr>
    <w:rPr>
      <w:rFonts w:ascii="Times New Roman" w:hAnsi="Times New Roman"/>
      <w:szCs w:val="24"/>
    </w:rPr>
  </w:style>
  <w:style w:type="paragraph" w:customStyle="1" w:styleId="24">
    <w:name w:val="修订1"/>
    <w:autoRedefine/>
    <w:hidden/>
    <w:qFormat/>
    <w:uiPriority w:val="99"/>
    <w:rPr>
      <w:rFonts w:ascii="Times New Roman" w:hAnsi="Times New Roman" w:eastAsia="宋体" w:cs="Times New Roman"/>
      <w:kern w:val="2"/>
      <w:sz w:val="21"/>
      <w:szCs w:val="24"/>
      <w:lang w:val="en-US" w:eastAsia="zh-CN" w:bidi="ar-SA"/>
    </w:rPr>
  </w:style>
  <w:style w:type="paragraph" w:customStyle="1" w:styleId="25">
    <w:name w:val="Default"/>
    <w:autoRedefine/>
    <w:unhideWhenUsed/>
    <w:qFormat/>
    <w:uiPriority w:val="99"/>
    <w:pPr>
      <w:widowControl w:val="0"/>
      <w:autoSpaceDE w:val="0"/>
      <w:autoSpaceDN w:val="0"/>
      <w:adjustRightInd w:val="0"/>
    </w:pPr>
    <w:rPr>
      <w:rFonts w:hint="eastAsia" w:ascii="黑体" w:hAnsi="黑体" w:eastAsia="黑体"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5398</Words>
  <Characters>5624</Characters>
  <Lines>35</Lines>
  <Paragraphs>9</Paragraphs>
  <TotalTime>109</TotalTime>
  <ScaleCrop>false</ScaleCrop>
  <LinksUpToDate>false</LinksUpToDate>
  <CharactersWithSpaces>5627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2021-01-21T07:42:00Z</dcterms:created>
  <dc:creator>lenovo</dc:creator>
  <cp:lastModifiedBy>邓婷</cp:lastModifiedBy>
  <cp:lastPrinted>2025-03-11T08:53:00Z</cp:lastPrinted>
  <dcterms:modified xsi:type="dcterms:W3CDTF">2025-10-27T01:02:24Z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05A3344A75BF4096A4DCE5DEC370004C</vt:lpwstr>
  </property>
  <property fmtid="{D5CDD505-2E9C-101B-9397-08002B2CF9AE}" pid="4" name="KSOTemplateDocerSaveRecord">
    <vt:lpwstr>eyJoZGlkIjoiYzcyNzVkZGRhMDA5NzdlMGNiNTEyYzA3ODI0MWFmMmIiLCJ1c2VySWQiOiIxMDY5MjgzMDcxIn0=</vt:lpwstr>
  </property>
</Properties>
</file>