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rFonts w:hint="eastAsia" w:ascii="Times New Roman" w:hAnsi="Times New Roman" w:eastAsia="黑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项目支出绩效自评表</w:t>
      </w:r>
    </w:p>
    <w:tbl>
      <w:tblPr>
        <w:tblStyle w:val="2"/>
        <w:tblpPr w:leftFromText="180" w:rightFromText="180" w:vertAnchor="text" w:horzAnchor="page" w:tblpX="1380" w:tblpY="927"/>
        <w:tblOverlap w:val="never"/>
        <w:tblW w:w="9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64"/>
        <w:gridCol w:w="1755"/>
        <w:gridCol w:w="1125"/>
        <w:gridCol w:w="1064"/>
        <w:gridCol w:w="964"/>
        <w:gridCol w:w="912"/>
        <w:gridCol w:w="825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卫生监督机构能力建设项目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衡阳市卫生健康委员会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 单位</w:t>
            </w: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衡阳市卫生计生综合监督执法局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34.92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34.92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  <w:t>改善卫生监督机构执法条件，提高卫生监督执法能力和应急处置能力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采购现场快检设备、现场执法设备及卫生健康综合监管平台、医废监督平台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设备采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购完成率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设备采购合格率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设备采购及时率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效益指标（40分）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保障卫生监督执法和应急处置能力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有效提高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有效提高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不超过项目资金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34.92万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社会公众满意度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大于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99.9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7368C"/>
    <w:rsid w:val="054C5133"/>
    <w:rsid w:val="1B707519"/>
    <w:rsid w:val="2B0471A2"/>
    <w:rsid w:val="33536C34"/>
    <w:rsid w:val="4D2C7535"/>
    <w:rsid w:val="5A47368C"/>
    <w:rsid w:val="66FFBED8"/>
    <w:rsid w:val="6F1C17D1"/>
    <w:rsid w:val="7B6A4AB5"/>
    <w:rsid w:val="7D7BD354"/>
    <w:rsid w:val="7DA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504</Characters>
  <Lines>0</Lines>
  <Paragraphs>0</Paragraphs>
  <TotalTime>3</TotalTime>
  <ScaleCrop>false</ScaleCrop>
  <LinksUpToDate>false</LinksUpToDate>
  <CharactersWithSpaces>511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2025-02-19T08:56:00Z</dcterms:created>
  <dc:creator>罗军</dc:creator>
  <cp:lastModifiedBy>kylin</cp:lastModifiedBy>
  <dcterms:modified xsi:type="dcterms:W3CDTF">2025-09-30T17:21:30Z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B06B0B843AFF4098B01F0EBD2BEFE169_13</vt:lpwstr>
  </property>
  <property fmtid="{D5CDD505-2E9C-101B-9397-08002B2CF9AE}" pid="4" name="KSOTemplateDocerSaveRecord">
    <vt:lpwstr>eyJoZGlkIjoiYzAzYjZlMjI2OTdhMTEwOTVjYjRjMGZiMGU1Yjk2MTkiLCJ1c2VySWQiOiIxNDQxNzgyMDI5In0=</vt:lpwstr>
  </property>
</Properties>
</file>