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4627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1B82AB85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bookmarkStart w:id="2" w:name="_GoBack"/>
      <w:bookmarkEnd w:id="2"/>
    </w:p>
    <w:p w14:paraId="20780E91">
      <w:pPr>
        <w:rPr>
          <w:rFonts w:ascii="Times New Roman" w:hAnsi="Times New Roman" w:eastAsia="方正小标宋简体"/>
          <w:sz w:val="48"/>
          <w:szCs w:val="48"/>
        </w:rPr>
      </w:pPr>
    </w:p>
    <w:p w14:paraId="72D47805">
      <w:pPr>
        <w:jc w:val="center"/>
        <w:rPr>
          <w:rFonts w:hint="eastAsia"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部门整体支出绩效自评报告</w:t>
      </w:r>
    </w:p>
    <w:p w14:paraId="67105A12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（2024 年度）</w:t>
      </w:r>
    </w:p>
    <w:p w14:paraId="527985C7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E57C35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1307B06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EE1E69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430078B">
      <w:pPr>
        <w:rPr>
          <w:rFonts w:ascii="Times New Roman" w:hAnsi="Times New Roman" w:eastAsia="黑体"/>
          <w:sz w:val="32"/>
          <w:szCs w:val="32"/>
        </w:rPr>
      </w:pPr>
    </w:p>
    <w:p w14:paraId="54C92647">
      <w:pPr>
        <w:rPr>
          <w:rFonts w:ascii="Times New Roman" w:hAnsi="Times New Roman" w:eastAsia="黑体"/>
          <w:sz w:val="32"/>
          <w:szCs w:val="32"/>
        </w:rPr>
      </w:pPr>
    </w:p>
    <w:p w14:paraId="233240F2">
      <w:pPr>
        <w:jc w:val="center"/>
        <w:rPr>
          <w:rFonts w:ascii="Times New Roman" w:hAnsi="Times New Roman"/>
          <w:sz w:val="36"/>
          <w:szCs w:val="36"/>
        </w:rPr>
      </w:pPr>
    </w:p>
    <w:p w14:paraId="324FA242">
      <w:pPr>
        <w:jc w:val="both"/>
        <w:rPr>
          <w:rFonts w:ascii="Times New Roman" w:hAnsi="Times New Roman"/>
          <w:sz w:val="36"/>
          <w:szCs w:val="36"/>
        </w:rPr>
      </w:pPr>
    </w:p>
    <w:p w14:paraId="11FEA16E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  <w:lang w:eastAsia="zh-CN"/>
        </w:rPr>
        <w:t>：衡阳市公路建设养护中心雁峰分中心</w:t>
      </w:r>
    </w:p>
    <w:p w14:paraId="6213A21B">
      <w:pPr>
        <w:ind w:firstLine="360" w:firstLineChars="100"/>
        <w:jc w:val="left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>主要负责人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陈述</w:t>
      </w:r>
    </w:p>
    <w:p w14:paraId="28BCD9EF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</w:p>
    <w:p w14:paraId="1E2D9949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70806C46">
      <w:pPr>
        <w:tabs>
          <w:tab w:val="left" w:pos="2747"/>
          <w:tab w:val="center" w:pos="4155"/>
        </w:tabs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 w14:paraId="3C692B27">
      <w:pPr>
        <w:tabs>
          <w:tab w:val="left" w:pos="2747"/>
          <w:tab w:val="center" w:pos="4155"/>
        </w:tabs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7C787321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4E31A28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31943CD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2BD985AA">
      <w:pPr>
        <w:spacing w:line="600" w:lineRule="exact"/>
        <w:jc w:val="both"/>
        <w:rPr>
          <w:rFonts w:hint="eastAsia" w:ascii="Times New Roman" w:hAnsi="Times New Roman" w:eastAsia="方正小标宋简体" w:cs="Times New Roman"/>
          <w:sz w:val="44"/>
          <w:szCs w:val="44"/>
          <w:lang w:val="en-US" w:eastAsia="en-US"/>
        </w:rPr>
      </w:pPr>
    </w:p>
    <w:p w14:paraId="16FEF3D6">
      <w:pPr>
        <w:pStyle w:val="13"/>
        <w:widowControl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en-US"/>
        </w:rPr>
        <w:t xml:space="preserve">一、 </w:t>
      </w:r>
      <w:r>
        <w:rPr>
          <w:rFonts w:eastAsia="黑体"/>
          <w:sz w:val="32"/>
          <w:szCs w:val="32"/>
        </w:rPr>
        <w:t>部门、单位基本情况</w:t>
      </w:r>
    </w:p>
    <w:p w14:paraId="2D0532AD">
      <w:pPr>
        <w:wordWrap/>
        <w:adjustRightInd/>
        <w:snapToGrid/>
        <w:spacing w:before="305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（一）单位主要职责</w:t>
      </w:r>
    </w:p>
    <w:p w14:paraId="0A512E6B">
      <w:pPr>
        <w:wordWrap/>
        <w:adjustRightInd/>
        <w:snapToGrid/>
        <w:spacing w:before="283" w:after="0" w:line="40" w:lineRule="atLeast"/>
        <w:ind w:left="96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为经济社会发展提供公路交通保障。国省干线公路、</w:t>
      </w:r>
    </w:p>
    <w:p w14:paraId="7B7347AA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农村公路建设与养护；公路抢修与保通公路绿化；路产路权</w:t>
      </w:r>
    </w:p>
    <w:p w14:paraId="00F6B0C7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维护；协助路政管理。</w:t>
      </w:r>
    </w:p>
    <w:p w14:paraId="7E1F3BE6">
      <w:pPr>
        <w:wordWrap/>
        <w:adjustRightInd/>
        <w:snapToGrid/>
        <w:spacing w:before="189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承担辖区内国省干线公路和农村公路、桥梁的建设、养</w:t>
      </w:r>
    </w:p>
    <w:p w14:paraId="6AB88399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护和管理职责。</w:t>
      </w:r>
    </w:p>
    <w:p w14:paraId="597D121B">
      <w:pPr>
        <w:wordWrap/>
        <w:adjustRightInd/>
        <w:snapToGrid/>
        <w:spacing w:before="192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负责编制并组织实施辖区内管养公路的发展规划和养</w:t>
      </w:r>
    </w:p>
    <w:p w14:paraId="229DDF2B">
      <w:pPr>
        <w:wordWrap/>
        <w:adjustRightInd/>
        <w:snapToGrid/>
        <w:spacing w:before="189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护计划。</w:t>
      </w:r>
    </w:p>
    <w:p w14:paraId="18D4E438">
      <w:pPr>
        <w:wordWrap/>
        <w:adjustRightInd/>
        <w:snapToGrid/>
        <w:spacing w:before="192" w:after="0" w:line="40" w:lineRule="atLeast"/>
        <w:ind w:left="638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负责所管养公路及附属设施的建设、日常养护、改造升</w:t>
      </w:r>
    </w:p>
    <w:p w14:paraId="026A575D">
      <w:pPr>
        <w:wordWrap/>
        <w:adjustRightInd/>
        <w:snapToGrid/>
        <w:spacing w:before="192" w:after="0" w:line="4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级、绿化工作、公路安防工程等。</w:t>
      </w:r>
    </w:p>
    <w:p w14:paraId="2245DD74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协助所管养公路、桥梁的路政管理；参与、协助公路沿</w:t>
      </w:r>
    </w:p>
    <w:p w14:paraId="536BB45E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线户外广告设置管理；协助查处侵占公路用地、破坏公路设</w:t>
      </w:r>
      <w:bookmarkStart w:id="0" w:name="br1_2"/>
      <w:bookmarkEnd w:id="0"/>
      <w:bookmarkStart w:id="1" w:name="br1_1"/>
      <w:bookmarkEnd w:id="1"/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施等违法、违规、违章行为，依法维护公路产权等工作。</w:t>
      </w:r>
    </w:p>
    <w:p w14:paraId="5C2DDA95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（二）机构设置</w:t>
      </w:r>
    </w:p>
    <w:p w14:paraId="291CA6AB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我单位现有内设科室10个，在职人员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人，退休人员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33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人，属市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级预算单位。</w:t>
      </w:r>
    </w:p>
    <w:p w14:paraId="6BA2EAF6">
      <w:pPr>
        <w:pStyle w:val="13"/>
        <w:widowControl/>
        <w:numPr>
          <w:ilvl w:val="0"/>
          <w:numId w:val="1"/>
        </w:numPr>
        <w:ind w:firstLine="64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一般公共预算支出情况</w:t>
      </w:r>
    </w:p>
    <w:p w14:paraId="58E37716">
      <w:pPr>
        <w:spacing w:line="520" w:lineRule="exact"/>
        <w:ind w:firstLine="56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年我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雁峰分中心年初预算数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635.88万元，全年预算数1362.06万元，全年执行数1362.06万元。</w:t>
      </w:r>
    </w:p>
    <w:p w14:paraId="1ED325CD">
      <w:pPr>
        <w:pStyle w:val="13"/>
        <w:widowControl/>
        <w:wordWrap/>
        <w:adjustRightInd/>
        <w:snapToGrid/>
        <w:spacing w:line="40" w:lineRule="atLeast"/>
        <w:ind w:firstLine="643"/>
        <w:textAlignment w:val="auto"/>
        <w:rPr>
          <w:rFonts w:eastAsia="楷体"/>
          <w:b/>
          <w:color w:val="000000"/>
          <w:sz w:val="32"/>
          <w:szCs w:val="32"/>
          <w:highlight w:val="none"/>
        </w:rPr>
      </w:pPr>
      <w:r>
        <w:rPr>
          <w:rFonts w:hint="eastAsia" w:eastAsia="楷体"/>
          <w:b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sz w:val="32"/>
          <w:szCs w:val="32"/>
        </w:rPr>
        <w:t>一）基本支出情况</w:t>
      </w:r>
    </w:p>
    <w:p w14:paraId="529CED9E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年全年基本支出总计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667.07万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元，其中包括以下几个方面：</w:t>
      </w:r>
    </w:p>
    <w:p w14:paraId="40631351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1、工资福利支出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497.28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74.55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主要用于在职干部职工工资、绩效奖、养老保险、医疗保险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、住房公积金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等保障缴费等。</w:t>
      </w:r>
    </w:p>
    <w:p w14:paraId="72A5803C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2、商品和服务支出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75.03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万元，占基本支出的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11.25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%，主要用于为保障基本运行而发生的水费、电费、物业管理费、办公费、印刷费、邮电费、维修费、差旅费等。</w:t>
      </w:r>
    </w:p>
    <w:p w14:paraId="7CB9E04E">
      <w:pPr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3、对个人及家庭的补助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94.76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万元。占基本支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出的14.20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%，主要用于发放退休人员绩效奖、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遗孀遗属补贴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en-US" w:bidi="ar-SA"/>
        </w:rPr>
        <w:t>等。</w:t>
      </w:r>
    </w:p>
    <w:p w14:paraId="63C0BDF7">
      <w:pPr>
        <w:pStyle w:val="13"/>
        <w:widowControl/>
        <w:ind w:firstLine="643"/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en-US"/>
        </w:rPr>
        <w:t>（二）项目支出</w:t>
      </w:r>
      <w:r>
        <w:rPr>
          <w:rFonts w:hint="eastAsia" w:eastAsia="楷体" w:cs="Times New Roman"/>
          <w:b/>
          <w:sz w:val="32"/>
          <w:szCs w:val="32"/>
          <w:lang w:val="en-US" w:eastAsia="zh-CN"/>
        </w:rPr>
        <w:t>情况</w:t>
      </w:r>
    </w:p>
    <w:p w14:paraId="3758B106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年全年项目总支出为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694.99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。其中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0.69万元；S219线安防设施精细化提升工程1.5万元；国省干线公路日常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17.23万元；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安防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工程110.10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217.12万元；茶园桥维修加固工程55.19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S219线提质改造242.46万元；塑田村农村公路水毁抢修18.33万元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。</w:t>
      </w:r>
    </w:p>
    <w:p w14:paraId="4977A095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三、政府性基金预算支出情况</w:t>
      </w:r>
    </w:p>
    <w:p w14:paraId="12A17B03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政府性基金预算支出情况无</w:t>
      </w:r>
    </w:p>
    <w:p w14:paraId="732ECD28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四、国有资本经营预算支出情况</w:t>
      </w:r>
    </w:p>
    <w:p w14:paraId="38F06F6A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国有资本经营预算支出情况无</w:t>
      </w:r>
    </w:p>
    <w:p w14:paraId="3BD129D3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五、社会保险基金预算支出情况</w:t>
      </w:r>
    </w:p>
    <w:p w14:paraId="5052B822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社会保险基金预算支出情况无</w:t>
      </w:r>
    </w:p>
    <w:p w14:paraId="11F4F066">
      <w:pPr>
        <w:widowControl/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六、部门整体支出绩效情况</w:t>
      </w:r>
    </w:p>
    <w:p w14:paraId="1C896040"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过去的一年，在市公路建设养护中心、区委区政府的正确领导下，认真贯彻落实全市公路工作会议精神和区委经济工作会议精神，立足实际、主动作为、建章立制、规范管理、重在强基，各项工作稳步推进，圆满完成了全年各项目标任务，实现了良好开局。</w:t>
      </w:r>
    </w:p>
    <w:p w14:paraId="6ACD7895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各项管理制度不断完善，干部职工各项待遇基本落实；国省干线路况水平稳步提升，农路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公路</w:t>
      </w:r>
      <w:r>
        <w:rPr>
          <w:rFonts w:hint="eastAsia" w:ascii="仿宋" w:hAnsi="仿宋" w:eastAsia="仿宋"/>
          <w:sz w:val="32"/>
          <w:szCs w:val="32"/>
        </w:rPr>
        <w:t>养护力度加大，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农村公路安防（民生实事）工程如期完成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F01C220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七、存在的问题及原因分析</w:t>
      </w:r>
    </w:p>
    <w:p w14:paraId="495A261E">
      <w:pPr>
        <w:widowControl/>
        <w:numPr>
          <w:ilvl w:val="0"/>
          <w:numId w:val="0"/>
        </w:numPr>
        <w:wordWrap w:val="0"/>
        <w:ind w:firstLine="640" w:firstLineChars="200"/>
        <w:jc w:val="left"/>
        <w:rPr>
          <w:rFonts w:ascii="仿宋" w:hAnsi="仿宋" w:eastAsia="仿宋" w:cs="仿宋_GB2312"/>
          <w:kern w:val="1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2"/>
          <w:sz w:val="32"/>
          <w:szCs w:val="32"/>
          <w:lang w:val="en-US" w:eastAsia="zh-CN" w:bidi="ar-SA"/>
        </w:rPr>
        <w:t>预算执行基本围绕保人员经费、保正常运转、保重点工作进行。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主要负责所在行政区域内的国省干线公路及农村公路的建设、养护和管理工作，公路养护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和建设虽</w:t>
      </w:r>
      <w:r>
        <w:rPr>
          <w:rFonts w:hint="eastAsia" w:ascii="仿宋" w:hAnsi="仿宋" w:eastAsia="仿宋" w:cs="仿宋"/>
          <w:sz w:val="32"/>
          <w:szCs w:val="32"/>
        </w:rPr>
        <w:t>安排了经费，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但实际</w:t>
      </w:r>
      <w:r>
        <w:rPr>
          <w:rFonts w:hint="eastAsia" w:ascii="仿宋" w:hAnsi="仿宋" w:eastAsia="仿宋" w:cs="仿宋"/>
          <w:sz w:val="32"/>
          <w:szCs w:val="32"/>
        </w:rPr>
        <w:t>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不足。</w:t>
      </w:r>
      <w:r>
        <w:rPr>
          <w:rFonts w:hint="eastAsia" w:ascii="仿宋" w:hAnsi="仿宋" w:eastAsia="仿宋" w:cs="Arial"/>
          <w:color w:val="333333"/>
          <w:kern w:val="2"/>
          <w:sz w:val="32"/>
          <w:szCs w:val="32"/>
          <w:lang w:val="en-US" w:eastAsia="zh-CN" w:bidi="ar-SA"/>
        </w:rPr>
        <w:t>运转经费财政预算安排较少，存在挤占项目经费。</w:t>
      </w:r>
    </w:p>
    <w:p w14:paraId="2227F95E">
      <w:pPr>
        <w:pStyle w:val="13"/>
        <w:widowControl/>
        <w:wordWrap/>
        <w:adjustRightInd/>
        <w:snapToGrid/>
        <w:spacing w:line="40" w:lineRule="atLeast"/>
        <w:ind w:firstLine="640"/>
        <w:textAlignment w:val="auto"/>
        <w:rPr>
          <w:rFonts w:hint="eastAsia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</w:rPr>
        <w:t>八、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下一步改进措施</w:t>
      </w:r>
    </w:p>
    <w:p w14:paraId="64651194">
      <w:pPr>
        <w:ind w:firstLine="320" w:firstLineChars="1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ascii="仿宋" w:hAnsi="仿宋" w:eastAsia="仿宋" w:cs="Arial"/>
          <w:b w:val="0"/>
          <w:bCs w:val="0"/>
          <w:color w:val="333333"/>
          <w:sz w:val="32"/>
          <w:szCs w:val="32"/>
        </w:rPr>
        <w:t>兼顾预算调整的灵活性</w:t>
      </w:r>
      <w:r>
        <w:rPr>
          <w:rFonts w:hint="eastAsia" w:ascii="宋体" w:hAnsi="宋体" w:eastAsia="仿宋" w:cs="Arial"/>
          <w:b w:val="0"/>
          <w:bCs w:val="0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开展预算执行分析，</w:t>
      </w:r>
      <w:r>
        <w:rPr>
          <w:rFonts w:ascii="仿宋" w:hAnsi="仿宋" w:eastAsia="仿宋" w:cs="Arial"/>
          <w:color w:val="333333"/>
          <w:sz w:val="32"/>
          <w:szCs w:val="32"/>
        </w:rPr>
        <w:t>及时掌握预算执行进度，</w:t>
      </w:r>
      <w:r>
        <w:rPr>
          <w:rFonts w:hint="eastAsia" w:ascii="仿宋" w:hAnsi="仿宋" w:eastAsia="仿宋" w:cs="仿宋"/>
          <w:sz w:val="32"/>
          <w:szCs w:val="32"/>
        </w:rPr>
        <w:t>督促项目实施单位早启动、早实施、早验收，</w:t>
      </w:r>
      <w:r>
        <w:rPr>
          <w:rFonts w:ascii="仿宋" w:hAnsi="仿宋" w:eastAsia="仿宋" w:cs="Arial"/>
          <w:color w:val="333333"/>
          <w:sz w:val="32"/>
          <w:szCs w:val="32"/>
        </w:rPr>
        <w:t>适时对预算执行情况进行通报和督促。</w:t>
      </w:r>
      <w:r>
        <w:rPr>
          <w:rFonts w:hint="eastAsia" w:ascii="仿宋" w:hAnsi="仿宋" w:eastAsia="仿宋" w:cs="仿宋"/>
          <w:sz w:val="32"/>
          <w:szCs w:val="32"/>
        </w:rPr>
        <w:t>将预算资金管理贯穿于项目实施全过程中，</w:t>
      </w:r>
      <w:r>
        <w:rPr>
          <w:rFonts w:ascii="仿宋" w:hAnsi="仿宋" w:eastAsia="仿宋" w:cs="Arial"/>
          <w:color w:val="333333"/>
          <w:sz w:val="32"/>
          <w:szCs w:val="32"/>
        </w:rPr>
        <w:t>盘活存量资金，内部统筹使用资金为主，加快消化结转结余资金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，</w:t>
      </w:r>
      <w:r>
        <w:rPr>
          <w:rFonts w:ascii="仿宋" w:hAnsi="仿宋" w:eastAsia="仿宋" w:cs="Arial"/>
          <w:color w:val="333333"/>
          <w:sz w:val="32"/>
          <w:szCs w:val="32"/>
        </w:rPr>
        <w:t>科学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、</w:t>
      </w:r>
      <w:r>
        <w:rPr>
          <w:rFonts w:ascii="仿宋" w:hAnsi="仿宋" w:eastAsia="仿宋" w:cs="Arial"/>
          <w:color w:val="333333"/>
          <w:sz w:val="32"/>
          <w:szCs w:val="32"/>
        </w:rPr>
        <w:t>灵活的兼顾预算调整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 xml:space="preserve">    </w:t>
      </w:r>
    </w:p>
    <w:p w14:paraId="23C96C2F">
      <w:pPr>
        <w:widowControl/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九、其他需要说明的情况</w:t>
      </w:r>
    </w:p>
    <w:p w14:paraId="400D588E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无</w:t>
      </w:r>
    </w:p>
    <w:p w14:paraId="491A4167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778D9765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52E43FA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10B0D352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41B04814">
      <w:pPr>
        <w:wordWrap/>
        <w:adjustRightInd/>
        <w:snapToGrid/>
        <w:spacing w:line="40" w:lineRule="atLeast"/>
        <w:ind w:firstLine="640" w:firstLineChars="200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CD7C045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C934AB8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42943FE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0D2BD3CA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411CF380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105820DE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251A6BD6">
      <w:pPr>
        <w:wordWrap/>
        <w:adjustRightInd/>
        <w:snapToGrid/>
        <w:spacing w:line="40" w:lineRule="atLeast"/>
        <w:textAlignment w:val="auto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</w:p>
    <w:p w14:paraId="5FB85CC8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 6</w:t>
      </w:r>
    </w:p>
    <w:p w14:paraId="2C0D3EF8">
      <w:pPr>
        <w:rPr>
          <w:rFonts w:ascii="Times New Roman" w:hAnsi="Times New Roman" w:eastAsia="方正小标宋简体"/>
          <w:sz w:val="48"/>
          <w:szCs w:val="48"/>
        </w:rPr>
      </w:pPr>
    </w:p>
    <w:p w14:paraId="73E2485F">
      <w:pPr>
        <w:rPr>
          <w:rFonts w:ascii="Times New Roman" w:hAnsi="Times New Roman" w:eastAsia="方正小标宋简体"/>
          <w:sz w:val="48"/>
          <w:szCs w:val="48"/>
        </w:rPr>
      </w:pPr>
    </w:p>
    <w:p w14:paraId="666FD9C7">
      <w:pPr>
        <w:jc w:val="center"/>
        <w:rPr>
          <w:rFonts w:hint="eastAsia"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项目支出绩效自评报告</w:t>
      </w:r>
    </w:p>
    <w:p w14:paraId="1F965D87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8"/>
          <w:szCs w:val="48"/>
        </w:rPr>
        <w:t>（2024 年度）</w:t>
      </w:r>
    </w:p>
    <w:p w14:paraId="29D93C4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39A4E49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C36E97D">
      <w:pPr>
        <w:rPr>
          <w:rFonts w:ascii="Times New Roman" w:hAnsi="Times New Roman" w:eastAsia="黑体"/>
          <w:sz w:val="32"/>
          <w:szCs w:val="32"/>
        </w:rPr>
      </w:pPr>
    </w:p>
    <w:p w14:paraId="630BA9DE">
      <w:pPr>
        <w:jc w:val="center"/>
        <w:rPr>
          <w:rFonts w:ascii="Times New Roman" w:hAnsi="Times New Roman"/>
          <w:sz w:val="36"/>
          <w:szCs w:val="36"/>
        </w:rPr>
      </w:pPr>
    </w:p>
    <w:p w14:paraId="4E262D4F">
      <w:pPr>
        <w:jc w:val="both"/>
        <w:rPr>
          <w:rFonts w:ascii="Times New Roman" w:hAnsi="Times New Roman"/>
          <w:sz w:val="36"/>
          <w:szCs w:val="36"/>
        </w:rPr>
      </w:pPr>
    </w:p>
    <w:p w14:paraId="1DCE8844">
      <w:pPr>
        <w:jc w:val="both"/>
        <w:rPr>
          <w:rFonts w:ascii="Times New Roman" w:hAnsi="Times New Roman"/>
          <w:sz w:val="36"/>
          <w:szCs w:val="36"/>
        </w:rPr>
      </w:pPr>
    </w:p>
    <w:p w14:paraId="2BA04BD1">
      <w:pPr>
        <w:jc w:val="both"/>
        <w:rPr>
          <w:rFonts w:ascii="Times New Roman" w:hAnsi="Times New Roman"/>
          <w:sz w:val="36"/>
          <w:szCs w:val="36"/>
        </w:rPr>
      </w:pPr>
    </w:p>
    <w:p w14:paraId="7847ED6C">
      <w:pPr>
        <w:jc w:val="both"/>
        <w:rPr>
          <w:rFonts w:ascii="Times New Roman" w:hAnsi="Times New Roman"/>
          <w:sz w:val="36"/>
          <w:szCs w:val="36"/>
        </w:rPr>
      </w:pPr>
    </w:p>
    <w:p w14:paraId="5EF65327">
      <w:pPr>
        <w:jc w:val="both"/>
        <w:rPr>
          <w:rFonts w:ascii="Times New Roman" w:hAnsi="Times New Roman"/>
          <w:sz w:val="36"/>
          <w:szCs w:val="36"/>
        </w:rPr>
      </w:pPr>
    </w:p>
    <w:p w14:paraId="7CF282F2">
      <w:pPr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  <w:lang w:eastAsia="zh-CN"/>
        </w:rPr>
        <w:t>：衡阳市公路建设养护中心雁峰分中心</w:t>
      </w:r>
    </w:p>
    <w:p w14:paraId="2D265455">
      <w:pPr>
        <w:ind w:firstLine="360" w:firstLineChars="100"/>
        <w:jc w:val="left"/>
        <w:rPr>
          <w:rFonts w:hint="eastAsia" w:ascii="Times New Roman" w:hAnsi="Times New Roman" w:eastAsia="宋体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>主要负责人</w:t>
      </w:r>
      <w:r>
        <w:rPr>
          <w:rFonts w:ascii="Times New Roman" w:hAnsi="Times New Roman"/>
          <w:sz w:val="36"/>
          <w:szCs w:val="36"/>
        </w:rPr>
        <w:t>：</w:t>
      </w:r>
      <w:r>
        <w:rPr>
          <w:rFonts w:hint="eastAsia" w:ascii="Times New Roman" w:hAnsi="Times New Roman"/>
          <w:sz w:val="36"/>
          <w:szCs w:val="36"/>
          <w:lang w:eastAsia="zh-CN"/>
        </w:rPr>
        <w:t>陈述</w:t>
      </w:r>
    </w:p>
    <w:p w14:paraId="226DF932">
      <w:pPr>
        <w:jc w:val="both"/>
        <w:rPr>
          <w:rFonts w:ascii="Times New Roman" w:hAnsi="Times New Roman" w:eastAsia="黑体"/>
          <w:sz w:val="36"/>
          <w:szCs w:val="36"/>
        </w:rPr>
      </w:pPr>
    </w:p>
    <w:p w14:paraId="4817984C">
      <w:pPr>
        <w:tabs>
          <w:tab w:val="left" w:pos="2747"/>
          <w:tab w:val="center" w:pos="4155"/>
        </w:tabs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/>
          <w:sz w:val="32"/>
          <w:szCs w:val="32"/>
        </w:rPr>
        <w:t xml:space="preserve">月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B668479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B77268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ED7E63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73F5E0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744FA3E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一、项目支出概况</w:t>
      </w:r>
    </w:p>
    <w:p w14:paraId="44553B29">
      <w:pPr>
        <w:widowControl w:val="0"/>
        <w:wordWrap/>
        <w:adjustRightInd/>
        <w:snapToGrid/>
        <w:spacing w:before="189" w:after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项目支出：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0.69万元；2、S219线安防设施精细化提升工程1.5万元；3、国省干线公路日常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17.23万元；5、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安防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工程110.10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217.12万元；7、茶园桥维修加固工程55.19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8、S219线提质改造242.46万元；9、塑田村农村公路水毁抢修18.33万元；合计694.99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en-US"/>
        </w:rPr>
        <w:t>万元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。</w:t>
      </w:r>
    </w:p>
    <w:p w14:paraId="5A726883">
      <w:pPr>
        <w:numPr>
          <w:ilvl w:val="0"/>
          <w:numId w:val="0"/>
        </w:numPr>
        <w:adjustRightInd w:val="0"/>
        <w:snapToGrid w:val="0"/>
        <w:spacing w:line="600" w:lineRule="exact"/>
        <w:ind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sz w:val="32"/>
          <w:szCs w:val="32"/>
        </w:rPr>
        <w:t>项目资金使用及管理情况</w:t>
      </w:r>
    </w:p>
    <w:p w14:paraId="67C853E0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/>
          <w:sz w:val="32"/>
          <w:szCs w:val="32"/>
        </w:rPr>
        <w:t>项目资金的安排落实、总投入等情况。</w:t>
      </w:r>
    </w:p>
    <w:p w14:paraId="40A53E49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年项目资金到位0.69万元，已支付使用0.69万元，全部来源于上年结转资金。</w:t>
      </w:r>
    </w:p>
    <w:p w14:paraId="70A32427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2.S219线安防设施精细化提升工程2024年项目资金到位1.5万元，已支付使用1.5万元。全部来源于上年结转资金。</w:t>
      </w:r>
    </w:p>
    <w:p w14:paraId="0D10A03B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3.国省干线公路日常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2024年项目资金到位32.37万元，已支付使用32.37万元，其中当年财政拨款支付了30.27万元；其他资金支付了2.10万元。</w:t>
      </w:r>
    </w:p>
    <w:p w14:paraId="43BD34F0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2024年项目资金到位17.23万元，已支付使用17.23万元，全部来源于当年财政拨款。</w:t>
      </w:r>
    </w:p>
    <w:p w14:paraId="32783E04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农村公路生命安全防护工程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年项目资金到位110.10万元，已支付使用110.10万元，其中当年财政拨款实际支付了82.59万元；上年结转资金支付了27.51万元。</w:t>
      </w:r>
    </w:p>
    <w:p w14:paraId="43CBACC7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2024年项目资金到位217.12万元，已支付使用217.12万元，其中当年财政拨款支付了84万元；上年结转资金支付了99.89万元；其他资金支付了33.23万元。</w:t>
      </w:r>
    </w:p>
    <w:p w14:paraId="2603F74F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茶园桥维修加固工程2024年项目资金到位55.19万元，已支付使用55.19万元，全部来源于上年结转资金。</w:t>
      </w:r>
    </w:p>
    <w:p w14:paraId="1DD4AB98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S219线提质改造2024年项目资金到位242.46万元，已支付使用242.46万元，全部来源于当年财政拨款。</w:t>
      </w:r>
    </w:p>
    <w:p w14:paraId="7F48BF7C">
      <w:pPr>
        <w:numPr>
          <w:ilvl w:val="0"/>
          <w:numId w:val="0"/>
        </w:num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塑田村农村公路水毁抢修2024年项目资金到位18.33万元，已支付使用18.33万元，全部来源于当年财政拨款。</w:t>
      </w:r>
    </w:p>
    <w:p w14:paraId="15C8EA5D"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（二）项目资金实际使用情况。</w:t>
      </w:r>
    </w:p>
    <w:p w14:paraId="0C2DFBBF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0.69万元，执行数0.69万元，执行率100%。</w:t>
      </w:r>
    </w:p>
    <w:p w14:paraId="05D018AD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1.5万元，执行数1.5万元，执行率100%。</w:t>
      </w:r>
    </w:p>
    <w:p w14:paraId="46E5D628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国省干线公路日常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养护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32.37万元，执行数32.37万元，执行率100%。</w:t>
      </w:r>
    </w:p>
    <w:p w14:paraId="52E6A04B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17.23万元，执行数17.23万元，执行率100%。</w:t>
      </w:r>
    </w:p>
    <w:p w14:paraId="64B8FC42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农村公路生命安全防护工程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110.10万元，执行数110.10万元，执行率100%。</w:t>
      </w:r>
    </w:p>
    <w:p w14:paraId="1075C335">
      <w:pPr>
        <w:adjustRightInd w:val="0"/>
        <w:snapToGrid w:val="0"/>
        <w:spacing w:line="600" w:lineRule="exact"/>
        <w:ind w:firstLine="960" w:firstLineChars="300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农村公路养护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217.12万元，执行数217.12万元，执行率100%。</w:t>
      </w:r>
    </w:p>
    <w:p w14:paraId="4ECF32DE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55.19万元，执行数55.19万元，执行率100%。</w:t>
      </w:r>
    </w:p>
    <w:p w14:paraId="6A0E792A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 xml:space="preserve">      8.S219线提质改造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242.46万元，执行数242.46万元，执行100%。</w:t>
      </w:r>
    </w:p>
    <w:p w14:paraId="1C26F5D1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9.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：项目全年预算数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18.33万元，执行数18.33万元，执行率100%。</w:t>
      </w:r>
    </w:p>
    <w:p w14:paraId="67FA8923">
      <w:pPr>
        <w:adjustRightInd w:val="0"/>
        <w:snapToGrid w:val="0"/>
        <w:spacing w:line="600" w:lineRule="exact"/>
        <w:ind w:firstLine="960" w:firstLineChars="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（三）项目资金管理情况分析。</w:t>
      </w:r>
    </w:p>
    <w:p w14:paraId="75AD0792">
      <w:pPr>
        <w:spacing w:line="520" w:lineRule="exact"/>
        <w:ind w:firstLine="560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项目资金管理由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衡阳市公路建设养护中心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雁峰分中心负责，项目预期目标已完成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严格执行财政预算安排，采取项目合同管理和专款专用管理，不存在挤占挪用等违法违规行为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严格按照工程量对公支付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不存在超范围超标准支出、转移资金、挤占挪用等违法违规问题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接受上级主管单位财政审计。</w:t>
      </w:r>
    </w:p>
    <w:p w14:paraId="5D09A359"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项目支出组织实施情况</w:t>
      </w:r>
    </w:p>
    <w:p w14:paraId="029AB22B">
      <w:pPr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</w:p>
    <w:p w14:paraId="7E20385C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S219线破板处治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主要施工内容为破板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970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53CB9F7D">
      <w:pPr>
        <w:numPr>
          <w:ilvl w:val="0"/>
          <w:numId w:val="2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</w:p>
    <w:p w14:paraId="573890AD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S219线安防设施精细化提升工程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主要施工内容为：拆除既有钢护栏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1630米，新增A级安护栏1736米。项目完工率均为100%，已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55E9130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(三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</w:t>
      </w:r>
    </w:p>
    <w:p w14:paraId="3E4C7F65">
      <w:pPr>
        <w:spacing w:line="520" w:lineRule="exact"/>
        <w:ind w:firstLine="56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农村公路建设主要为农村公路（资源产业路）提质改造工程。主要施工内容为：原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水泥硂老路面换板处置加4cm沥青硂面层铺筑及交通工程项目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06849446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(四</w:t>
      </w:r>
      <w:r>
        <w:rPr>
          <w:rFonts w:hint="eastAsia" w:ascii="Times New Roman" w:hAnsi="Times New Roman" w:eastAsia="仿宋_GB2312"/>
          <w:sz w:val="32"/>
          <w:szCs w:val="32"/>
        </w:rPr>
        <w:t>）公路养护</w:t>
      </w:r>
    </w:p>
    <w:p w14:paraId="68D02694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日常养护：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完成国省干线及农村公路路面清扫、行道树修枝及刷白、水沟清理、清理路肩反坡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等日常养护工作，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369B0927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养护工程：完成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202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农村公路（C10A线、CY26线、Y100线、CX55线、CX60线、Z01线）养护工程和2024年农村公路（C15A线、C08A线、CY08线、C24A线、CT07线）修复性养护工程。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主要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工程内容</w:t>
      </w:r>
      <w:r>
        <w:rPr>
          <w:rFonts w:hint="eastAsia" w:ascii="仿宋" w:hAnsi="仿宋" w:eastAsia="仿宋" w:cs="仿宋_GB2312"/>
          <w:kern w:val="1"/>
          <w:sz w:val="32"/>
          <w:szCs w:val="32"/>
        </w:rPr>
        <w:t>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修复养护中修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白加黑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项目以及大修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白改黑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项目，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65ED8493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（五）农村公路生命安全防护工程</w:t>
      </w:r>
    </w:p>
    <w:p w14:paraId="3C1AFDCB">
      <w:pPr>
        <w:spacing w:line="520" w:lineRule="exact"/>
        <w:ind w:firstLine="560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雁峰区农村公路生命安全防护工程项目为处治雁峰区C08A、CY40、CY23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等农村公路安全隐患，主要施工内容为：钢护栏、标志牌、减速带、反光镜等交通防护设施安装。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项目完工率均为100%，已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47BA7F0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茶园桥维修加固工程</w:t>
      </w:r>
    </w:p>
    <w:p w14:paraId="3CD9D5A3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</w:rPr>
        <w:t>雁峰区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茶园桥桥梁全长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43.9m,桥梁全宽为18.5m,由于桥梁承载力不足，已对桥梁进行维修加固，项目完工率100%，已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07504BDA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S219线提质改造</w:t>
      </w:r>
    </w:p>
    <w:p w14:paraId="4FFA5FBB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雁峰区S219线衡常路K194.6-K200.47共5.87公里，已对路面进行提质改造，项目完工率100%，已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1E232A39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（八）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塑田村农村公路水毁抢修</w:t>
      </w:r>
    </w:p>
    <w:p w14:paraId="1B86946A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主要施工内容为；对</w:t>
      </w:r>
      <w:r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  <w:t>雁峰区塑田村农村公路水毁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路段进行</w:t>
      </w:r>
      <w:r>
        <w:rPr>
          <w:rFonts w:hint="default" w:ascii="仿宋" w:hAnsi="仿宋" w:eastAsia="仿宋" w:cs="仿宋_GB2312"/>
          <w:kern w:val="1"/>
          <w:sz w:val="32"/>
          <w:szCs w:val="32"/>
          <w:lang w:val="en-US" w:eastAsia="zh-CN"/>
        </w:rPr>
        <w:t>抢修</w:t>
      </w:r>
      <w:r>
        <w:rPr>
          <w:rFonts w:hint="eastAsia" w:ascii="仿宋" w:hAnsi="仿宋" w:eastAsia="仿宋" w:cs="仿宋_GB2312"/>
          <w:kern w:val="1"/>
          <w:sz w:val="32"/>
          <w:szCs w:val="32"/>
          <w:lang w:val="en-US" w:eastAsia="zh-CN"/>
        </w:rPr>
        <w:t>，项目完工率100%，已</w:t>
      </w:r>
      <w:r>
        <w:rPr>
          <w:rFonts w:hint="eastAsia" w:ascii="仿宋" w:hAnsi="仿宋" w:eastAsia="仿宋" w:cs="仿宋_GB2312"/>
          <w:kern w:val="1"/>
          <w:sz w:val="32"/>
          <w:szCs w:val="32"/>
          <w:lang w:eastAsia="zh-CN"/>
        </w:rPr>
        <w:t>按时完成。</w:t>
      </w:r>
    </w:p>
    <w:p w14:paraId="14EF2EB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四、项目支出绩效情况</w:t>
      </w:r>
    </w:p>
    <w:p w14:paraId="375D2DE6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雁峰分中心</w:t>
      </w:r>
      <w:r>
        <w:rPr>
          <w:rFonts w:hint="eastAsia" w:ascii="仿宋" w:hAnsi="仿宋" w:eastAsia="仿宋"/>
          <w:sz w:val="32"/>
          <w:szCs w:val="32"/>
        </w:rPr>
        <w:t>认真贯彻落实全市公路工作会议精神和区委经济工作会议精神，立足实际、主动作为、建章立制、规范管理、重在强基，各项工作稳步推进，圆满完成了全年各项目标任务，实现了良好开局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2024年各项目</w:t>
      </w:r>
      <w:r>
        <w:rPr>
          <w:rFonts w:hint="eastAsia" w:ascii="仿宋" w:hAnsi="仿宋" w:eastAsia="仿宋"/>
          <w:sz w:val="32"/>
          <w:szCs w:val="32"/>
          <w:lang w:eastAsia="zh-CN"/>
        </w:rPr>
        <w:t>增强了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雁峰路段的养护能力，</w:t>
      </w:r>
      <w:r>
        <w:rPr>
          <w:rFonts w:hint="eastAsia" w:ascii="仿宋" w:hAnsi="仿宋" w:eastAsia="仿宋"/>
          <w:sz w:val="32"/>
          <w:szCs w:val="32"/>
          <w:lang w:eastAsia="zh-CN"/>
        </w:rPr>
        <w:t>提高了公路养护标准，促进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雁峰区公路路况</w:t>
      </w:r>
      <w:r>
        <w:rPr>
          <w:rFonts w:hint="eastAsia" w:ascii="仿宋" w:hAnsi="仿宋" w:eastAsia="仿宋"/>
          <w:sz w:val="32"/>
          <w:szCs w:val="32"/>
        </w:rPr>
        <w:t>可持续发展。项目绩效自评结果为良好，已向社会公示，社会公众及周边群众满意度较高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E937A03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主要经验做法、存在的问题及原因分析</w:t>
      </w:r>
    </w:p>
    <w:p w14:paraId="6E1969B2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公路建设养护资金投入不足，与公路实际建养需求有差距。</w:t>
      </w:r>
    </w:p>
    <w:p w14:paraId="6CAF7CA0"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有关建议</w:t>
      </w:r>
    </w:p>
    <w:p w14:paraId="3D43A0AE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议财政部门解决公路养护经费；按中央、省里要求安排专项经费，加大公路养护费的投入；采取“一事一议”的形式安排大中修计划，便于及时、更好、更大范围进行公路、桥梁的养护，使道路设施得到长效管理，持续发展。</w:t>
      </w:r>
    </w:p>
    <w:p w14:paraId="6FFB6ABC">
      <w:pPr>
        <w:numPr>
          <w:ilvl w:val="0"/>
          <w:numId w:val="3"/>
        </w:numPr>
        <w:adjustRightInd w:val="0"/>
        <w:snapToGrid w:val="0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其他需要说明的问题</w:t>
      </w:r>
    </w:p>
    <w:p w14:paraId="0F4D3600"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无</w:t>
      </w:r>
    </w:p>
    <w:p w14:paraId="10CF85C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62B290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88280C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62884B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C5DBAA4">
      <w:pPr>
        <w:wordWrap/>
        <w:adjustRightInd/>
        <w:snapToGrid/>
        <w:spacing w:line="40" w:lineRule="atLeast"/>
        <w:textAlignment w:val="auto"/>
        <w:rPr>
          <w:rFonts w:hint="eastAsia" w:ascii="Times New Roman" w:hAnsi="Times New Roman"/>
          <w:kern w:val="0"/>
          <w:sz w:val="2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C584E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- 10 -</w:t>
    </w:r>
    <w:r>
      <w:rPr>
        <w:rStyle w:val="10"/>
        <w:rFonts w:ascii="Times New Roman" w:hAnsi="Times New Roman"/>
        <w:sz w:val="28"/>
        <w:szCs w:val="28"/>
      </w:rPr>
      <w:fldChar w:fldCharType="end"/>
    </w:r>
  </w:p>
  <w:p w14:paraId="5C9FD0D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FEE6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fldChar w:fldCharType="end"/>
    </w:r>
  </w:p>
  <w:p w14:paraId="6250BF0A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A7BFF"/>
    <w:multiLevelType w:val="singleLevel"/>
    <w:tmpl w:val="921A7BFF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BAFEA21F"/>
    <w:multiLevelType w:val="singleLevel"/>
    <w:tmpl w:val="BAFEA2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EB05C7"/>
    <w:multiLevelType w:val="singleLevel"/>
    <w:tmpl w:val="02EB05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AwMWEwMjlhMTY0ZDYyMzBlZjI5NGYyMTkyMGYwMjgifQ=="/>
  </w:docVars>
  <w:rsids>
    <w:rsidRoot w:val="00000000"/>
    <w:rsid w:val="0A1379E5"/>
    <w:rsid w:val="18371E9B"/>
    <w:rsid w:val="55B56B5A"/>
    <w:rsid w:val="7E725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annotation reference"/>
    <w:basedOn w:val="8"/>
    <w:qFormat/>
    <w:uiPriority w:val="99"/>
    <w:rPr>
      <w:rFonts w:cs="Times New Roman"/>
      <w:sz w:val="21"/>
      <w:szCs w:val="21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4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3437</Words>
  <Characters>4010</Characters>
  <Lines>45</Lines>
  <Paragraphs>12</Paragraphs>
  <TotalTime>18</TotalTime>
  <ScaleCrop>false</ScaleCrop>
  <LinksUpToDate>false</LinksUpToDate>
  <CharactersWithSpaces>4041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2021-03-04T00:24:00Z</dcterms:created>
  <dc:creator>lenovo</dc:creator>
  <cp:lastModifiedBy>邓婷</cp:lastModifiedBy>
  <cp:lastPrinted>2023-04-04T03:25:00Z</cp:lastPrinted>
  <dcterms:modified xsi:type="dcterms:W3CDTF">2025-12-30T02:02:02Z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F2E3A0D92A9A415891C49890EF1825C0_13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