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2E2EA">
      <w:pPr>
        <w:spacing w:afterLines="100"/>
        <w:rPr>
          <w:rFonts w:hint="eastAsia" w:ascii="Times New Roman" w:hAnsi="Times New Roman" w:eastAsia="黑体"/>
          <w:kern w:val="0"/>
          <w:sz w:val="32"/>
          <w:szCs w:val="32"/>
          <w:lang w:val="en-US" w:eastAsia="zh-CN"/>
        </w:rPr>
      </w:pPr>
    </w:p>
    <w:p w14:paraId="5D62BB33">
      <w:pPr>
        <w:spacing w:afterLines="100"/>
        <w:rPr>
          <w:rFonts w:ascii="Times New Roman" w:hAnsi="Times New Roman" w:eastAsia="仿宋_GB2312"/>
          <w:kern w:val="0"/>
          <w:sz w:val="32"/>
          <w:szCs w:val="32"/>
        </w:rPr>
      </w:pPr>
    </w:p>
    <w:p w14:paraId="33F193C9">
      <w:pPr>
        <w:spacing w:afterLines="100"/>
        <w:rPr>
          <w:rFonts w:ascii="Times New Roman" w:hAnsi="Times New Roman" w:eastAsia="仿宋_GB2312"/>
          <w:kern w:val="0"/>
          <w:sz w:val="32"/>
          <w:szCs w:val="32"/>
        </w:rPr>
      </w:pPr>
    </w:p>
    <w:p w14:paraId="09C76E30">
      <w:pPr>
        <w:rPr>
          <w:rFonts w:ascii="Times New Roman" w:hAnsi="Times New Roman" w:eastAsia="方正小标宋简体"/>
          <w:sz w:val="48"/>
          <w:szCs w:val="48"/>
        </w:rPr>
      </w:pPr>
    </w:p>
    <w:p w14:paraId="6D68ADC6">
      <w:pPr>
        <w:rPr>
          <w:rFonts w:ascii="Times New Roman" w:hAnsi="Times New Roman" w:eastAsia="方正小标宋简体"/>
          <w:sz w:val="48"/>
          <w:szCs w:val="48"/>
        </w:rPr>
      </w:pPr>
    </w:p>
    <w:p w14:paraId="348C00F4">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06BBD202">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46BDFB02">
      <w:pPr>
        <w:jc w:val="center"/>
        <w:rPr>
          <w:rFonts w:ascii="Times New Roman" w:hAnsi="Times New Roman" w:eastAsia="黑体"/>
          <w:sz w:val="32"/>
          <w:szCs w:val="32"/>
        </w:rPr>
      </w:pPr>
    </w:p>
    <w:p w14:paraId="0F5C3938">
      <w:pPr>
        <w:jc w:val="center"/>
        <w:rPr>
          <w:rFonts w:ascii="Times New Roman" w:hAnsi="Times New Roman" w:eastAsia="黑体"/>
          <w:sz w:val="32"/>
          <w:szCs w:val="32"/>
        </w:rPr>
      </w:pPr>
    </w:p>
    <w:p w14:paraId="1D7423F1">
      <w:pPr>
        <w:jc w:val="center"/>
        <w:rPr>
          <w:rFonts w:ascii="Times New Roman" w:hAnsi="Times New Roman" w:eastAsia="黑体"/>
          <w:sz w:val="32"/>
          <w:szCs w:val="32"/>
        </w:rPr>
      </w:pPr>
    </w:p>
    <w:p w14:paraId="0B77AD79">
      <w:pPr>
        <w:jc w:val="center"/>
        <w:rPr>
          <w:rFonts w:ascii="Times New Roman" w:hAnsi="Times New Roman" w:eastAsia="黑体"/>
          <w:sz w:val="32"/>
          <w:szCs w:val="32"/>
        </w:rPr>
      </w:pPr>
    </w:p>
    <w:p w14:paraId="24B62BB1">
      <w:pPr>
        <w:rPr>
          <w:rFonts w:ascii="Times New Roman" w:hAnsi="Times New Roman" w:eastAsia="黑体"/>
          <w:sz w:val="32"/>
          <w:szCs w:val="32"/>
        </w:rPr>
      </w:pPr>
    </w:p>
    <w:p w14:paraId="11EBCC04">
      <w:pPr>
        <w:jc w:val="center"/>
        <w:rPr>
          <w:rFonts w:ascii="Times New Roman" w:hAnsi="Times New Roman"/>
          <w:sz w:val="36"/>
          <w:szCs w:val="36"/>
        </w:rPr>
      </w:pPr>
    </w:p>
    <w:p w14:paraId="742A6A03">
      <w:pPr>
        <w:jc w:val="center"/>
        <w:rPr>
          <w:rFonts w:ascii="Times New Roman" w:hAnsi="Times New Roman"/>
          <w:sz w:val="36"/>
          <w:szCs w:val="36"/>
        </w:rPr>
      </w:pPr>
    </w:p>
    <w:p w14:paraId="6ACE3008">
      <w:pPr>
        <w:jc w:val="center"/>
        <w:rPr>
          <w:rFonts w:ascii="Times New Roman" w:hAnsi="Times New Roman"/>
          <w:sz w:val="36"/>
          <w:szCs w:val="36"/>
        </w:rPr>
      </w:pPr>
    </w:p>
    <w:p w14:paraId="6F06CFB7">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w:t>
      </w:r>
      <w:r>
        <w:rPr>
          <w:rFonts w:hint="eastAsia" w:ascii="Times New Roman" w:hAnsi="Times New Roman"/>
          <w:sz w:val="36"/>
          <w:szCs w:val="36"/>
          <w:lang w:eastAsia="zh-CN"/>
        </w:rPr>
        <w:t>衡阳市公路建设养护中心蒸湘分中心</w:t>
      </w:r>
    </w:p>
    <w:p w14:paraId="1616D35E">
      <w:pPr>
        <w:jc w:val="center"/>
        <w:rPr>
          <w:rFonts w:hint="default" w:ascii="Times New Roman" w:hAnsi="Times New Roman" w:eastAsia="宋体"/>
          <w:sz w:val="36"/>
          <w:szCs w:val="36"/>
          <w:lang w:val="en-US" w:eastAsia="zh-CN"/>
        </w:rPr>
      </w:pPr>
      <w:r>
        <w:rPr>
          <w:rFonts w:hint="eastAsia" w:ascii="Times New Roman" w:hAnsi="Times New Roman"/>
          <w:sz w:val="36"/>
          <w:szCs w:val="36"/>
        </w:rPr>
        <w:t>主要负责人签字</w:t>
      </w:r>
      <w:r>
        <w:rPr>
          <w:rFonts w:ascii="Times New Roman" w:hAnsi="Times New Roman"/>
          <w:sz w:val="36"/>
          <w:szCs w:val="36"/>
        </w:rPr>
        <w:t>：</w:t>
      </w:r>
      <w:r>
        <w:rPr>
          <w:rFonts w:hint="eastAsia" w:ascii="Times New Roman" w:hAnsi="Times New Roman"/>
          <w:sz w:val="36"/>
          <w:szCs w:val="36"/>
          <w:lang w:eastAsia="zh-CN"/>
        </w:rPr>
        <w:t>段宜海</w:t>
      </w:r>
    </w:p>
    <w:p w14:paraId="5573AC57">
      <w:pPr>
        <w:jc w:val="center"/>
        <w:rPr>
          <w:rFonts w:ascii="Times New Roman" w:hAnsi="Times New Roman" w:eastAsia="黑体"/>
          <w:sz w:val="36"/>
          <w:szCs w:val="36"/>
        </w:rPr>
      </w:pPr>
    </w:p>
    <w:p w14:paraId="46B200F6">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2025</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3</w:t>
      </w:r>
      <w:r>
        <w:rPr>
          <w:rFonts w:hint="eastAsia" w:ascii="Times New Roman" w:hAnsi="Times New Roman" w:eastAsia="黑体"/>
          <w:sz w:val="32"/>
          <w:szCs w:val="32"/>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5</w:t>
      </w:r>
      <w:r>
        <w:rPr>
          <w:rFonts w:hint="eastAsia" w:ascii="Times New Roman" w:hAnsi="Times New Roman" w:eastAsia="黑体"/>
          <w:sz w:val="32"/>
          <w:szCs w:val="32"/>
        </w:rPr>
        <w:t xml:space="preserve">  </w:t>
      </w:r>
      <w:r>
        <w:rPr>
          <w:rFonts w:ascii="Times New Roman" w:hAnsi="Times New Roman" w:eastAsia="黑体"/>
          <w:sz w:val="32"/>
          <w:szCs w:val="32"/>
        </w:rPr>
        <w:t>日</w:t>
      </w:r>
    </w:p>
    <w:p w14:paraId="28FEBFF6">
      <w:pPr>
        <w:spacing w:line="600" w:lineRule="exact"/>
        <w:jc w:val="both"/>
        <w:rPr>
          <w:rFonts w:ascii="Times New Roman" w:hAnsi="Times New Roman" w:eastAsia="方正小标宋简体"/>
          <w:sz w:val="44"/>
          <w:szCs w:val="44"/>
        </w:rPr>
      </w:pPr>
    </w:p>
    <w:p w14:paraId="47575BE2">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5AB7DB0C">
      <w:pPr>
        <w:spacing w:line="600" w:lineRule="exact"/>
        <w:jc w:val="center"/>
        <w:rPr>
          <w:rFonts w:ascii="Times New Roman" w:hAnsi="Times New Roman" w:eastAsia="楷体_GB2312"/>
          <w:sz w:val="32"/>
          <w:szCs w:val="32"/>
        </w:rPr>
      </w:pPr>
      <w:r>
        <w:rPr>
          <w:rFonts w:ascii="Times New Roman" w:hAnsi="Times New Roman" w:eastAsia="楷体_GB2312"/>
          <w:sz w:val="32"/>
          <w:szCs w:val="32"/>
        </w:rPr>
        <w:t>（参考提纲）</w:t>
      </w:r>
    </w:p>
    <w:p w14:paraId="555CF7A3">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Times New Roman" w:hAnsi="Times New Roman" w:eastAsia="方正小标宋_GBK"/>
          <w:b/>
          <w:bCs/>
          <w:sz w:val="32"/>
          <w:szCs w:val="32"/>
        </w:rPr>
      </w:pPr>
      <w:r>
        <w:rPr>
          <w:rFonts w:hint="default" w:ascii="仿宋" w:hAnsi="仿宋" w:eastAsia="仿宋" w:cs="仿宋"/>
          <w:color w:val="auto"/>
          <w:kern w:val="0"/>
          <w:sz w:val="32"/>
          <w:szCs w:val="32"/>
          <w:lang w:val="zh-CN" w:eastAsia="zh-CN" w:bidi="zh-CN"/>
        </w:rPr>
        <w:t>为</w:t>
      </w:r>
      <w:r>
        <w:rPr>
          <w:rFonts w:ascii="Times New Roman" w:hAnsi="Times New Roman" w:eastAsia="仿宋_GB2312"/>
          <w:kern w:val="0"/>
          <w:sz w:val="32"/>
          <w:szCs w:val="32"/>
        </w:rPr>
        <w:t>进一步规范财政资金管理</w:t>
      </w:r>
      <w:r>
        <w:rPr>
          <w:rFonts w:hint="default" w:ascii="仿宋" w:hAnsi="仿宋" w:eastAsia="仿宋" w:cs="仿宋"/>
          <w:color w:val="auto"/>
          <w:kern w:val="0"/>
          <w:sz w:val="32"/>
          <w:szCs w:val="32"/>
          <w:lang w:val="zh-CN" w:eastAsia="zh-CN" w:bidi="zh-CN"/>
        </w:rPr>
        <w:t>，提高财政资源配置效率和财政资金使用效益，根据</w:t>
      </w:r>
      <w:r>
        <w:rPr>
          <w:rFonts w:hint="eastAsia" w:ascii="Times New Roman" w:hAnsi="Times New Roman" w:eastAsia="仿宋_GB2312"/>
          <w:sz w:val="32"/>
          <w:szCs w:val="32"/>
        </w:rPr>
        <w:t>省委省政府</w:t>
      </w:r>
      <w:r>
        <w:rPr>
          <w:rFonts w:ascii="Times New Roman" w:hAnsi="Times New Roman" w:eastAsia="仿宋_GB2312"/>
          <w:sz w:val="32"/>
          <w:szCs w:val="32"/>
        </w:rPr>
        <w:t>《关于全面实施预算绩效管理的实施意见》（湘办发〔2019〕10号）和《衡阳市预算绩效管理实施办法》(衡办发〔2021〕13号)</w:t>
      </w:r>
      <w:r>
        <w:rPr>
          <w:rFonts w:hint="default" w:ascii="仿宋" w:hAnsi="仿宋" w:eastAsia="仿宋" w:cs="仿宋"/>
          <w:color w:val="auto"/>
          <w:kern w:val="0"/>
          <w:sz w:val="32"/>
          <w:szCs w:val="32"/>
          <w:lang w:val="zh-CN" w:eastAsia="zh-CN" w:bidi="zh-CN"/>
        </w:rPr>
        <w:t>的文件精神，我</w:t>
      </w:r>
      <w:r>
        <w:rPr>
          <w:rFonts w:hint="eastAsia" w:ascii="仿宋" w:hAnsi="仿宋" w:eastAsia="仿宋" w:cs="仿宋"/>
          <w:color w:val="auto"/>
          <w:kern w:val="0"/>
          <w:sz w:val="32"/>
          <w:szCs w:val="32"/>
          <w:lang w:val="en-US" w:eastAsia="zh-CN" w:bidi="zh-CN"/>
        </w:rPr>
        <w:t>中心</w:t>
      </w:r>
      <w:r>
        <w:rPr>
          <w:rFonts w:hint="default" w:ascii="仿宋" w:hAnsi="仿宋" w:eastAsia="仿宋" w:cs="仿宋"/>
          <w:color w:val="auto"/>
          <w:kern w:val="0"/>
          <w:sz w:val="32"/>
          <w:szCs w:val="32"/>
          <w:lang w:val="zh-CN" w:eastAsia="zh-CN" w:bidi="zh-CN"/>
        </w:rPr>
        <w:t>对部门整体支出进行了绩效评价，现报告如下：</w:t>
      </w:r>
    </w:p>
    <w:p w14:paraId="146E998E">
      <w:pPr>
        <w:pStyle w:val="5"/>
        <w:widowControl/>
        <w:numPr>
          <w:ilvl w:val="0"/>
          <w:numId w:val="1"/>
        </w:numPr>
        <w:ind w:firstLine="640"/>
        <w:rPr>
          <w:rFonts w:eastAsia="黑体"/>
          <w:sz w:val="32"/>
          <w:szCs w:val="32"/>
        </w:rPr>
      </w:pPr>
      <w:r>
        <w:rPr>
          <w:rFonts w:eastAsia="黑体"/>
          <w:sz w:val="32"/>
          <w:szCs w:val="32"/>
        </w:rPr>
        <w:t>部门、单位基本情况</w:t>
      </w:r>
    </w:p>
    <w:p w14:paraId="0AAD1BD8">
      <w:pPr>
        <w:pStyle w:val="2"/>
        <w:keepNext w:val="0"/>
        <w:keepLines w:val="0"/>
        <w:pageBreakBefore w:val="0"/>
        <w:widowControl w:val="0"/>
        <w:numPr>
          <w:ilvl w:val="0"/>
          <w:numId w:val="2"/>
        </w:numPr>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机构设置。</w:t>
      </w:r>
    </w:p>
    <w:p w14:paraId="258F84F2">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ind w:leftChars="98" w:firstLine="640" w:firstLineChars="200"/>
        <w:textAlignment w:val="auto"/>
        <w:rPr>
          <w:rFonts w:hint="eastAsia" w:ascii="仿宋" w:hAnsi="仿宋" w:eastAsia="仿宋" w:cs="仿宋"/>
          <w:color w:val="auto"/>
          <w:kern w:val="0"/>
          <w:lang w:val="en-US" w:bidi="zh-CN"/>
        </w:rPr>
      </w:pPr>
      <w:r>
        <w:rPr>
          <w:rFonts w:hint="eastAsia" w:ascii="仿宋" w:hAnsi="仿宋" w:eastAsia="仿宋"/>
          <w:sz w:val="32"/>
          <w:szCs w:val="32"/>
        </w:rPr>
        <w:t>衡阳市公路建设养护中心蒸湘分中心于2017年成立，内设9个机构：计划统计股、财务审计股、人事股、法制安全股、工会、工程股、养护股、办公室和纪检监察室</w:t>
      </w:r>
      <w:r>
        <w:rPr>
          <w:rFonts w:hint="eastAsia" w:ascii="仿宋" w:hAnsi="仿宋" w:eastAsia="仿宋"/>
          <w:sz w:val="32"/>
          <w:szCs w:val="32"/>
          <w:lang w:eastAsia="zh-CN"/>
        </w:rPr>
        <w:t>。</w:t>
      </w:r>
      <w:r>
        <w:rPr>
          <w:rFonts w:hint="eastAsia" w:ascii="仿宋" w:hAnsi="仿宋" w:eastAsia="仿宋"/>
          <w:sz w:val="32"/>
          <w:szCs w:val="32"/>
        </w:rPr>
        <w:t>属市二级预算单位。</w:t>
      </w:r>
    </w:p>
    <w:p w14:paraId="131B402E">
      <w:pPr>
        <w:pStyle w:val="2"/>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b/>
          <w:bCs/>
          <w:color w:val="auto"/>
          <w:kern w:val="0"/>
          <w:lang w:val="en-US" w:bidi="zh-CN"/>
        </w:rPr>
      </w:pPr>
      <w:r>
        <w:rPr>
          <w:rFonts w:hint="eastAsia" w:ascii="仿宋" w:hAnsi="仿宋" w:eastAsia="仿宋" w:cs="仿宋"/>
          <w:b/>
          <w:bCs/>
          <w:color w:val="auto"/>
          <w:kern w:val="0"/>
          <w:lang w:val="en-US" w:bidi="zh-CN"/>
        </w:rPr>
        <w:t>（二）职能职责。</w:t>
      </w:r>
    </w:p>
    <w:p w14:paraId="0665FC99">
      <w:pPr>
        <w:pStyle w:val="2"/>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ascii="仿宋" w:hAnsi="仿宋" w:eastAsia="仿宋" w:cs="仿宋"/>
          <w:color w:val="auto"/>
        </w:rPr>
        <w:t>为经济社会发展提供公路交通保障。国省干线公路、农村公路建设与养护；公路抢修与保通公路绿化；路产路权维护；协助路政管理。</w:t>
      </w:r>
    </w:p>
    <w:p w14:paraId="06D92FE6">
      <w:pPr>
        <w:pStyle w:val="2"/>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ascii="仿宋" w:hAnsi="仿宋" w:eastAsia="仿宋" w:cs="仿宋"/>
          <w:color w:val="auto"/>
        </w:rPr>
        <w:t>承担辖区内国省干线公路和农村公路、桥梁的建设、养护和管理职责。</w:t>
      </w:r>
    </w:p>
    <w:p w14:paraId="46E4823B">
      <w:pPr>
        <w:pStyle w:val="2"/>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ascii="仿宋" w:hAnsi="仿宋" w:eastAsia="仿宋" w:cs="仿宋"/>
          <w:color w:val="auto"/>
        </w:rPr>
        <w:t>负责编制并组织实施辖区内管养公路的发展规划和养护计划。</w:t>
      </w:r>
    </w:p>
    <w:p w14:paraId="39BAB8E9">
      <w:pPr>
        <w:pStyle w:val="2"/>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ascii="仿宋" w:hAnsi="仿宋" w:eastAsia="仿宋" w:cs="仿宋"/>
          <w:color w:val="auto"/>
        </w:rPr>
        <w:t>负责所管养公路及附属设施的建设、日常养护、改造升级、绿化工作、公路安防工程等。</w:t>
      </w:r>
    </w:p>
    <w:p w14:paraId="0E6A8386">
      <w:pPr>
        <w:pStyle w:val="2"/>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eastAsia="黑体"/>
          <w:sz w:val="32"/>
          <w:szCs w:val="32"/>
        </w:rPr>
      </w:pPr>
      <w:r>
        <w:rPr>
          <w:rFonts w:ascii="仿宋" w:hAnsi="仿宋" w:eastAsia="仿宋" w:cs="仿宋"/>
          <w:color w:val="auto"/>
        </w:rPr>
        <w:t>协助所管养公路、桥梁的路政管理；参与、协助公路沿线户外广告设置管理；协助查处侵占公路用地、破坏公路设施等违法、违规、违章行为，依法维护公路产权等工作。</w:t>
      </w:r>
    </w:p>
    <w:p w14:paraId="5D86ACDF">
      <w:pPr>
        <w:pStyle w:val="5"/>
        <w:widowControl/>
        <w:ind w:firstLine="640"/>
        <w:rPr>
          <w:rFonts w:eastAsia="黑体"/>
          <w:sz w:val="32"/>
          <w:szCs w:val="32"/>
        </w:rPr>
      </w:pPr>
      <w:r>
        <w:rPr>
          <w:rFonts w:eastAsia="黑体"/>
          <w:sz w:val="32"/>
          <w:szCs w:val="32"/>
        </w:rPr>
        <w:t>二、一般公共预算支出情况</w:t>
      </w:r>
    </w:p>
    <w:p w14:paraId="21568735">
      <w:pPr>
        <w:pStyle w:val="5"/>
        <w:widowControl/>
        <w:ind w:firstLine="643"/>
        <w:rPr>
          <w:rFonts w:eastAsia="楷体"/>
          <w:b/>
          <w:sz w:val="32"/>
          <w:szCs w:val="32"/>
        </w:rPr>
      </w:pPr>
      <w:r>
        <w:rPr>
          <w:rFonts w:eastAsia="楷体"/>
          <w:b/>
          <w:sz w:val="32"/>
          <w:szCs w:val="32"/>
        </w:rPr>
        <w:t>（一）基本支出情况</w:t>
      </w:r>
    </w:p>
    <w:p w14:paraId="71E9ACBA">
      <w:pPr>
        <w:widowControl/>
        <w:spacing w:line="360" w:lineRule="auto"/>
        <w:ind w:firstLine="640"/>
        <w:jc w:val="left"/>
        <w:rPr>
          <w:rFonts w:eastAsia="楷体"/>
          <w:b/>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年基本支出</w:t>
      </w:r>
      <w:r>
        <w:rPr>
          <w:rFonts w:hint="eastAsia" w:ascii="仿宋" w:hAnsi="仿宋" w:eastAsia="仿宋" w:cs="仿宋"/>
          <w:sz w:val="32"/>
          <w:szCs w:val="32"/>
          <w:lang w:val="en-US" w:eastAsia="zh-CN"/>
        </w:rPr>
        <w:t>740.79</w:t>
      </w:r>
      <w:r>
        <w:rPr>
          <w:rFonts w:hint="eastAsia" w:ascii="仿宋" w:hAnsi="仿宋" w:eastAsia="仿宋" w:cs="仿宋"/>
          <w:sz w:val="32"/>
          <w:szCs w:val="32"/>
        </w:rPr>
        <w:t>万元，较上年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127.81</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536.51</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72</w:t>
      </w:r>
      <w:r>
        <w:rPr>
          <w:rFonts w:hint="eastAsia" w:ascii="仿宋" w:hAnsi="仿宋" w:eastAsia="仿宋" w:cs="仿宋"/>
          <w:sz w:val="32"/>
          <w:szCs w:val="32"/>
        </w:rPr>
        <w:t>.42%，主要用于在职干部职工工资、绩效奖励、养老保险、医疗保险等保障缴费等。一般商品和服务支出</w:t>
      </w:r>
      <w:r>
        <w:rPr>
          <w:rFonts w:hint="eastAsia" w:ascii="仿宋" w:hAnsi="仿宋" w:eastAsia="仿宋" w:cs="仿宋"/>
          <w:sz w:val="32"/>
          <w:szCs w:val="32"/>
          <w:lang w:val="en-US" w:eastAsia="zh-CN"/>
        </w:rPr>
        <w:t>104.42</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14.1</w:t>
      </w:r>
      <w:r>
        <w:rPr>
          <w:rFonts w:hint="eastAsia" w:ascii="仿宋" w:hAnsi="仿宋" w:eastAsia="仿宋" w:cs="仿宋"/>
          <w:sz w:val="32"/>
          <w:szCs w:val="32"/>
        </w:rPr>
        <w:t>%，主要用于为保障基本运行而发生的水费、电费、物业管理费、办公费、印刷费、邮电费、维修费、差旅费等。对个人和家庭补助支出</w:t>
      </w:r>
      <w:r>
        <w:rPr>
          <w:rFonts w:hint="eastAsia" w:ascii="仿宋" w:hAnsi="仿宋" w:eastAsia="仿宋" w:cs="仿宋"/>
          <w:sz w:val="32"/>
          <w:szCs w:val="32"/>
          <w:lang w:val="en-US" w:eastAsia="zh-CN"/>
        </w:rPr>
        <w:t>87.66</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11.83</w:t>
      </w:r>
      <w:r>
        <w:rPr>
          <w:rFonts w:hint="eastAsia" w:ascii="仿宋" w:hAnsi="仿宋" w:eastAsia="仿宋" w:cs="仿宋"/>
          <w:sz w:val="32"/>
          <w:szCs w:val="32"/>
        </w:rPr>
        <w:t>%，主要用于发放离退休人员绩效奖、综治奖等。资本性支出</w:t>
      </w:r>
      <w:r>
        <w:rPr>
          <w:rFonts w:hint="eastAsia" w:ascii="仿宋" w:hAnsi="仿宋" w:eastAsia="仿宋" w:cs="仿宋"/>
          <w:sz w:val="32"/>
          <w:szCs w:val="32"/>
          <w:lang w:val="en-US" w:eastAsia="zh-CN"/>
        </w:rPr>
        <w:t>12.2</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1.65</w:t>
      </w:r>
      <w:r>
        <w:rPr>
          <w:rFonts w:hint="eastAsia" w:ascii="仿宋" w:hAnsi="仿宋" w:eastAsia="仿宋" w:cs="仿宋"/>
          <w:sz w:val="32"/>
          <w:szCs w:val="32"/>
        </w:rPr>
        <w:t>%，主要用于办公设备购置</w:t>
      </w:r>
      <w:r>
        <w:rPr>
          <w:rFonts w:hint="eastAsia" w:ascii="仿宋" w:hAnsi="仿宋" w:eastAsia="仿宋" w:cs="仿宋"/>
          <w:sz w:val="32"/>
          <w:szCs w:val="32"/>
          <w:lang w:eastAsia="zh-CN"/>
        </w:rPr>
        <w:t>及其他资本性支出</w:t>
      </w:r>
      <w:r>
        <w:rPr>
          <w:rFonts w:hint="eastAsia" w:ascii="仿宋" w:hAnsi="仿宋" w:eastAsia="仿宋" w:cs="仿宋"/>
          <w:sz w:val="32"/>
          <w:szCs w:val="32"/>
        </w:rPr>
        <w:t>。</w:t>
      </w:r>
    </w:p>
    <w:p w14:paraId="2F9B8D42">
      <w:pPr>
        <w:pStyle w:val="5"/>
        <w:widowControl/>
        <w:ind w:firstLine="643"/>
        <w:rPr>
          <w:rFonts w:eastAsia="楷体"/>
          <w:b/>
          <w:sz w:val="32"/>
          <w:szCs w:val="32"/>
        </w:rPr>
      </w:pPr>
      <w:r>
        <w:rPr>
          <w:rFonts w:eastAsia="楷体"/>
          <w:b/>
          <w:sz w:val="32"/>
          <w:szCs w:val="32"/>
        </w:rPr>
        <w:t>（二）项目支出情况</w:t>
      </w:r>
    </w:p>
    <w:p w14:paraId="4DB1F14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年项目支出1</w:t>
      </w:r>
      <w:r>
        <w:rPr>
          <w:rFonts w:hint="eastAsia" w:ascii="仿宋" w:hAnsi="仿宋" w:eastAsia="仿宋" w:cs="仿宋"/>
          <w:sz w:val="32"/>
          <w:szCs w:val="32"/>
          <w:lang w:val="en-US" w:eastAsia="zh-CN"/>
        </w:rPr>
        <w:t>417.58</w:t>
      </w:r>
      <w:r>
        <w:rPr>
          <w:rFonts w:hint="eastAsia" w:ascii="仿宋" w:hAnsi="仿宋" w:eastAsia="仿宋" w:cs="仿宋"/>
          <w:sz w:val="32"/>
          <w:szCs w:val="32"/>
        </w:rPr>
        <w:t>万元，较上年降低</w:t>
      </w:r>
      <w:r>
        <w:rPr>
          <w:rFonts w:hint="eastAsia" w:ascii="仿宋" w:hAnsi="仿宋" w:eastAsia="仿宋" w:cs="仿宋"/>
          <w:sz w:val="32"/>
          <w:szCs w:val="32"/>
          <w:lang w:val="en-US" w:eastAsia="zh-CN"/>
        </w:rPr>
        <w:t>470.99</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color w:val="auto"/>
          <w:kern w:val="0"/>
          <w:sz w:val="32"/>
          <w:szCs w:val="32"/>
          <w:lang w:val="zh-CN" w:eastAsia="zh-CN" w:bidi="zh-CN"/>
        </w:rPr>
        <w:t>主要用于X009线十里荷塘段旅游公路提质改造、</w:t>
      </w:r>
      <w:r>
        <w:rPr>
          <w:rFonts w:hint="eastAsia" w:ascii="仿宋" w:hAnsi="仿宋" w:eastAsia="仿宋" w:cs="仿宋"/>
          <w:color w:val="auto"/>
          <w:kern w:val="0"/>
          <w:sz w:val="32"/>
          <w:szCs w:val="32"/>
          <w:lang w:val="en-US" w:eastAsia="zh-CN" w:bidi="zh-CN"/>
        </w:rPr>
        <w:t>X007线</w:t>
      </w:r>
      <w:r>
        <w:rPr>
          <w:rFonts w:hint="eastAsia" w:ascii="仿宋" w:hAnsi="仿宋" w:eastAsia="仿宋" w:cs="仿宋"/>
          <w:color w:val="auto"/>
          <w:kern w:val="0"/>
          <w:sz w:val="32"/>
          <w:szCs w:val="32"/>
          <w:lang w:val="zh-CN" w:eastAsia="zh-CN" w:bidi="zh-CN"/>
        </w:rPr>
        <w:t>提质改造工程、</w:t>
      </w:r>
      <w:r>
        <w:rPr>
          <w:rFonts w:hint="eastAsia" w:ascii="仿宋" w:hAnsi="仿宋" w:eastAsia="仿宋" w:cs="仿宋"/>
          <w:color w:val="auto"/>
          <w:kern w:val="0"/>
          <w:sz w:val="32"/>
          <w:szCs w:val="32"/>
          <w:lang w:val="en-US" w:eastAsia="zh-CN" w:bidi="zh-CN"/>
        </w:rPr>
        <w:t>X008线与CZ02线路面大中修工程、蒸湘区CX42、CX43、CX46线等20条农村公路生命安全防护工程</w:t>
      </w:r>
      <w:r>
        <w:rPr>
          <w:rFonts w:hint="eastAsia" w:ascii="仿宋" w:hAnsi="仿宋" w:eastAsia="仿宋" w:cs="仿宋"/>
          <w:color w:val="auto"/>
          <w:kern w:val="0"/>
          <w:sz w:val="32"/>
          <w:szCs w:val="32"/>
          <w:lang w:val="zh-CN" w:eastAsia="zh-CN" w:bidi="zh-CN"/>
        </w:rPr>
        <w:t>项目等方面支出。</w:t>
      </w:r>
    </w:p>
    <w:p w14:paraId="1D79E21D">
      <w:pPr>
        <w:pStyle w:val="5"/>
        <w:widowControl/>
        <w:ind w:firstLine="640"/>
        <w:rPr>
          <w:rFonts w:hint="eastAsia" w:eastAsia="黑体"/>
          <w:sz w:val="32"/>
          <w:szCs w:val="32"/>
          <w:lang w:val="en-US" w:eastAsia="zh-CN"/>
        </w:rPr>
      </w:pPr>
      <w:r>
        <w:rPr>
          <w:rFonts w:eastAsia="黑体"/>
          <w:sz w:val="32"/>
          <w:szCs w:val="32"/>
        </w:rPr>
        <w:t>三、政府性基金预算支出情况</w:t>
      </w:r>
      <w:r>
        <w:rPr>
          <w:rFonts w:hint="eastAsia" w:eastAsia="黑体"/>
          <w:sz w:val="32"/>
          <w:szCs w:val="32"/>
          <w:lang w:eastAsia="zh-CN"/>
        </w:rPr>
        <w:t>（无）</w:t>
      </w:r>
    </w:p>
    <w:p w14:paraId="16631F3E">
      <w:pPr>
        <w:pStyle w:val="5"/>
        <w:widowControl/>
        <w:ind w:firstLine="640"/>
        <w:rPr>
          <w:rFonts w:eastAsia="黑体"/>
          <w:sz w:val="32"/>
          <w:szCs w:val="32"/>
        </w:rPr>
      </w:pPr>
      <w:r>
        <w:rPr>
          <w:rFonts w:eastAsia="黑体"/>
          <w:sz w:val="32"/>
          <w:szCs w:val="32"/>
        </w:rPr>
        <w:t>四、国有资本经营预算支出情况</w:t>
      </w:r>
      <w:r>
        <w:rPr>
          <w:rFonts w:hint="eastAsia" w:eastAsia="黑体"/>
          <w:sz w:val="32"/>
          <w:szCs w:val="32"/>
          <w:lang w:eastAsia="zh-CN"/>
        </w:rPr>
        <w:t>（无）</w:t>
      </w:r>
    </w:p>
    <w:p w14:paraId="11151513">
      <w:pPr>
        <w:pStyle w:val="5"/>
        <w:widowControl/>
        <w:ind w:firstLine="640"/>
        <w:rPr>
          <w:rFonts w:eastAsia="黑体"/>
          <w:sz w:val="32"/>
          <w:szCs w:val="32"/>
        </w:rPr>
      </w:pPr>
      <w:r>
        <w:rPr>
          <w:rFonts w:eastAsia="黑体"/>
          <w:sz w:val="32"/>
          <w:szCs w:val="32"/>
        </w:rPr>
        <w:t>五、社会保险基金预算支出情况</w:t>
      </w:r>
      <w:r>
        <w:rPr>
          <w:rFonts w:hint="eastAsia" w:eastAsia="黑体"/>
          <w:sz w:val="32"/>
          <w:szCs w:val="32"/>
          <w:lang w:eastAsia="zh-CN"/>
        </w:rPr>
        <w:t>（无）</w:t>
      </w:r>
    </w:p>
    <w:p w14:paraId="0CCB3214">
      <w:pPr>
        <w:widowControl/>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0382B71E">
      <w:pPr>
        <w:keepNext w:val="0"/>
        <w:keepLines w:val="0"/>
        <w:pageBreakBefore w:val="0"/>
        <w:numPr>
          <w:ilvl w:val="0"/>
          <w:numId w:val="3"/>
        </w:numPr>
        <w:wordWrap/>
        <w:overflowPunct/>
        <w:topLinePunct w:val="0"/>
        <w:autoSpaceDE w:val="0"/>
        <w:bidi w:val="0"/>
        <w:ind w:left="0" w:leftChars="0" w:firstLine="420" w:firstLineChars="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落实安全保建设</w:t>
      </w:r>
    </w:p>
    <w:p w14:paraId="44C17BAA">
      <w:pPr>
        <w:keepNext w:val="0"/>
        <w:keepLines w:val="0"/>
        <w:pageBreakBefore w:val="0"/>
        <w:widowControl w:val="0"/>
        <w:kinsoku/>
        <w:wordWrap/>
        <w:overflowPunct/>
        <w:topLinePunct w:val="0"/>
        <w:autoSpaceDE w:val="0"/>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今年来，我分中心坚决落实上级关于2024年度安全生产工作部署安排，全面压实安全生产责任，严守安全生产底线，认真贯彻落实党政领导干部安全生产责任制有关规定，严格执行安全生产要求，着力加强安全生产监管，持之以恒加强安全隐患排查整治，不断提升应急处置能力。</w:t>
      </w:r>
    </w:p>
    <w:p w14:paraId="6C21EFA1">
      <w:pPr>
        <w:keepNext w:val="0"/>
        <w:keepLines w:val="0"/>
        <w:pageBreakBefore w:val="0"/>
        <w:widowControl w:val="0"/>
        <w:kinsoku/>
        <w:wordWrap/>
        <w:overflowPunct/>
        <w:topLinePunct w:val="0"/>
        <w:autoSpaceDE w:val="0"/>
        <w:autoSpaceDN/>
        <w:bidi w:val="0"/>
        <w:adjustRightInd/>
        <w:snapToGrid/>
        <w:ind w:firstLine="643"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1.抓好公路安全隐患处置工作。</w:t>
      </w:r>
      <w:r>
        <w:rPr>
          <w:rFonts w:hint="eastAsia" w:ascii="方正仿宋_GB2312" w:hAnsi="方正仿宋_GB2312" w:eastAsia="方正仿宋_GB2312" w:cs="方正仿宋_GB2312"/>
          <w:sz w:val="32"/>
          <w:szCs w:val="32"/>
          <w:highlight w:val="none"/>
          <w:lang w:val="en-US" w:eastAsia="zh-CN"/>
        </w:rPr>
        <w:t>坚持常态化安全巡查，特别是恶劣天气，事故多发路段及重点部位的高频率安全巡查。发现问题及时处治，确保公路安全畅通。全年共处理公路安全隐患26处，其中临水临崖地段9处，增设护栏700米，急转陡坡2处，桥面护栏重建1处，整改1处，开展“荧光行动”，通过排查，累计增设了13处反光标识牌。</w:t>
      </w:r>
    </w:p>
    <w:p w14:paraId="34523E5B">
      <w:pPr>
        <w:keepNext w:val="0"/>
        <w:keepLines w:val="0"/>
        <w:pageBreakBefore w:val="0"/>
        <w:widowControl w:val="0"/>
        <w:kinsoku/>
        <w:wordWrap/>
        <w:overflowPunct/>
        <w:topLinePunct w:val="0"/>
        <w:autoSpaceDE w:val="0"/>
        <w:autoSpaceDN/>
        <w:bidi w:val="0"/>
        <w:adjustRightInd/>
        <w:snapToGrid/>
        <w:ind w:firstLine="643"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2.健全安全生产管理体系。</w:t>
      </w:r>
      <w:r>
        <w:rPr>
          <w:rFonts w:hint="eastAsia" w:ascii="方正仿宋_GB2312" w:hAnsi="方正仿宋_GB2312" w:eastAsia="方正仿宋_GB2312" w:cs="方正仿宋_GB2312"/>
          <w:sz w:val="32"/>
          <w:szCs w:val="32"/>
          <w:highlight w:val="none"/>
          <w:lang w:val="en-US" w:eastAsia="zh-CN"/>
        </w:rPr>
        <w:t>定期召开安全会议，传达各级政府安全生产会议精神和重要批示。对安全生产管理、培训等进行了具体部署，根据今年安全生产月“人人讲安全、个个会应急”的主题开展了应急安全演练、消防安全知识培训、安全知识竞赛等活动。</w:t>
      </w:r>
    </w:p>
    <w:p w14:paraId="682B83D3">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90" w:lineRule="exact"/>
        <w:ind w:firstLine="643" w:firstLineChars="200"/>
        <w:jc w:val="both"/>
        <w:textAlignment w:val="baseline"/>
        <w:rPr>
          <w:rFonts w:hint="default" w:ascii="方正仿宋_GB2312" w:hAnsi="方正仿宋_GB2312" w:eastAsia="方正仿宋_GB2312" w:cs="方正仿宋_GB2312"/>
          <w:b w:val="0"/>
          <w:bCs w:val="0"/>
          <w:sz w:val="32"/>
          <w:szCs w:val="32"/>
          <w:highlight w:val="none"/>
          <w:lang w:val="en-US" w:eastAsia="zh-CN"/>
        </w:rPr>
      </w:pPr>
      <w:r>
        <w:rPr>
          <w:rFonts w:hint="eastAsia" w:ascii="楷体" w:hAnsi="楷体" w:eastAsia="楷体" w:cs="楷体"/>
          <w:b/>
          <w:bCs/>
          <w:sz w:val="32"/>
          <w:szCs w:val="32"/>
          <w:highlight w:val="none"/>
          <w:lang w:val="en-US" w:eastAsia="zh-CN"/>
        </w:rPr>
        <w:t>（二）建养公路保畅通</w:t>
      </w:r>
    </w:p>
    <w:p w14:paraId="31B8315A">
      <w:pPr>
        <w:keepNext w:val="0"/>
        <w:keepLines w:val="0"/>
        <w:pageBreakBefore w:val="0"/>
        <w:widowControl w:val="0"/>
        <w:kinsoku/>
        <w:wordWrap/>
        <w:overflowPunct/>
        <w:topLinePunct w:val="0"/>
        <w:autoSpaceDE w:val="0"/>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（1）出台工作改革方案，全面加强制度保障</w:t>
      </w:r>
    </w:p>
    <w:p w14:paraId="1F01B7A4">
      <w:pPr>
        <w:keepNext w:val="0"/>
        <w:keepLines w:val="0"/>
        <w:pageBreakBefore w:val="0"/>
        <w:widowControl w:val="0"/>
        <w:kinsoku/>
        <w:wordWrap/>
        <w:overflowPunct/>
        <w:topLinePunct w:val="0"/>
        <w:autoSpaceDE w:val="0"/>
        <w:autoSpaceDN/>
        <w:bidi w:val="0"/>
        <w:adjustRightInd/>
        <w:snapToGrid/>
        <w:ind w:firstLine="640" w:firstLineChars="20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今年来，针对农村公路建设、管理、养护方面存在的制度短板，正式出台了《蒸湘区农村公路管理养护体制改革方案》和《蒸湘区路长制实施方案》两大改革文件，进一步聚焦农村公路管理养护体制改革，促进路长制建设，促进建构区、镇、村三级路长管理格局。</w:t>
      </w:r>
    </w:p>
    <w:p w14:paraId="04526289">
      <w:pPr>
        <w:keepNext w:val="0"/>
        <w:keepLines w:val="0"/>
        <w:pageBreakBefore w:val="0"/>
        <w:widowControl w:val="0"/>
        <w:kinsoku/>
        <w:wordWrap/>
        <w:overflowPunct/>
        <w:topLinePunct w:val="0"/>
        <w:autoSpaceDE w:val="0"/>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（2）加强农村公路养护工作，全面提高养护质量</w:t>
      </w:r>
    </w:p>
    <w:p w14:paraId="61F9739E">
      <w:pPr>
        <w:keepNext w:val="0"/>
        <w:keepLines w:val="0"/>
        <w:pageBreakBefore w:val="0"/>
        <w:widowControl w:val="0"/>
        <w:kinsoku/>
        <w:wordWrap/>
        <w:overflowPunct/>
        <w:topLinePunct w:val="0"/>
        <w:autoSpaceDE w:val="0"/>
        <w:autoSpaceDN/>
        <w:bidi w:val="0"/>
        <w:adjustRightInd/>
        <w:snapToGrid/>
        <w:ind w:firstLine="643" w:firstLineChars="20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一是加大投入，有路必养。</w:t>
      </w:r>
      <w:r>
        <w:rPr>
          <w:rFonts w:hint="eastAsia" w:ascii="方正仿宋_GB2312" w:hAnsi="方正仿宋_GB2312" w:eastAsia="方正仿宋_GB2312" w:cs="方正仿宋_GB2312"/>
          <w:b w:val="0"/>
          <w:bCs w:val="0"/>
          <w:sz w:val="32"/>
          <w:szCs w:val="32"/>
          <w:highlight w:val="none"/>
          <w:lang w:val="en-US" w:eastAsia="zh-CN"/>
        </w:rPr>
        <w:t>今年，以年度养护管理考核为工作重点，已完成全区县、乡、村道全部农村公路</w:t>
      </w:r>
      <w:bookmarkStart w:id="0" w:name="_GoBack"/>
      <w:bookmarkEnd w:id="0"/>
      <w:r>
        <w:rPr>
          <w:rFonts w:hint="eastAsia" w:ascii="方正仿宋_GB2312" w:hAnsi="方正仿宋_GB2312" w:eastAsia="方正仿宋_GB2312" w:cs="方正仿宋_GB2312"/>
          <w:b w:val="0"/>
          <w:bCs w:val="0"/>
          <w:sz w:val="32"/>
          <w:szCs w:val="32"/>
          <w:highlight w:val="none"/>
          <w:lang w:val="en-US" w:eastAsia="zh-CN"/>
        </w:rPr>
        <w:t>的日常养护。其中对12.4公里县道和5公里乡道开展了预防性养护。真正做到“有路必养”。</w:t>
      </w:r>
      <w:r>
        <w:rPr>
          <w:rFonts w:hint="eastAsia" w:ascii="方正仿宋_GB2312" w:hAnsi="方正仿宋_GB2312" w:eastAsia="方正仿宋_GB2312" w:cs="方正仿宋_GB2312"/>
          <w:b/>
          <w:bCs/>
          <w:sz w:val="32"/>
          <w:szCs w:val="32"/>
          <w:highlight w:val="none"/>
          <w:lang w:val="en-US" w:eastAsia="zh-CN"/>
        </w:rPr>
        <w:t>二是推动农村公路养护管理信息化、智能化、精准化、高效化。</w:t>
      </w:r>
      <w:r>
        <w:rPr>
          <w:rFonts w:hint="eastAsia" w:ascii="方正仿宋_GB2312" w:hAnsi="方正仿宋_GB2312" w:eastAsia="方正仿宋_GB2312" w:cs="方正仿宋_GB2312"/>
          <w:b w:val="0"/>
          <w:bCs w:val="0"/>
          <w:sz w:val="32"/>
          <w:szCs w:val="32"/>
          <w:highlight w:val="none"/>
          <w:lang w:val="en-US" w:eastAsia="zh-CN"/>
        </w:rPr>
        <w:t>组织工程、养护、计统、桥梁等工作人员参加衡阳市公路统计质量提升专项行动暨养护、桥隧管理人员培训，利用湖南省交通运输基础设施数据管理系统进行了年报数据库内线路的采集更新工作，同时按照培训要求充分利用“养路通”智能化巡路平台，每月全覆盖巡路一次，根据巡路结果及时上传病害和安全隐患，加强决策及时性、科学性。</w:t>
      </w:r>
    </w:p>
    <w:p w14:paraId="1F29AE43">
      <w:pPr>
        <w:keepNext w:val="0"/>
        <w:keepLines w:val="0"/>
        <w:pageBreakBefore w:val="0"/>
        <w:widowControl w:val="0"/>
        <w:kinsoku/>
        <w:wordWrap/>
        <w:overflowPunct/>
        <w:topLinePunct w:val="0"/>
        <w:autoSpaceDE w:val="0"/>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（3）加强国省干线及桥梁养护，守护百姓回家路</w:t>
      </w:r>
    </w:p>
    <w:p w14:paraId="2F85F5AF">
      <w:pPr>
        <w:keepNext w:val="0"/>
        <w:keepLines w:val="0"/>
        <w:pageBreakBefore w:val="0"/>
        <w:widowControl w:val="0"/>
        <w:kinsoku/>
        <w:wordWrap/>
        <w:overflowPunct/>
        <w:topLinePunct w:val="0"/>
        <w:autoSpaceDE w:val="0"/>
        <w:autoSpaceDN/>
        <w:bidi w:val="0"/>
        <w:adjustRightInd/>
        <w:snapToGrid/>
        <w:ind w:firstLine="643" w:firstLineChars="20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一是不断加大养护投入，实现国省干线及桥梁养护全覆盖。</w:t>
      </w:r>
      <w:r>
        <w:rPr>
          <w:rFonts w:hint="eastAsia" w:ascii="方正仿宋_GB2312" w:hAnsi="方正仿宋_GB2312" w:eastAsia="方正仿宋_GB2312" w:cs="方正仿宋_GB2312"/>
          <w:b w:val="0"/>
          <w:bCs w:val="0"/>
          <w:sz w:val="32"/>
          <w:szCs w:val="32"/>
          <w:highlight w:val="none"/>
          <w:lang w:val="en-US" w:eastAsia="zh-CN"/>
        </w:rPr>
        <w:t>我分中心管养桥梁10座，其中Ⅱ级养护桥梁6座，Ⅲ级养护桥梁4座，今年按规范及市中心要求开展桥梁日常养护工作，落实桥梁管养任务，对中心桥梁按期检查，保证日常检查、经常检查及定期检查的频率达标，及时处理了桥梁的安全隐患及病害。</w:t>
      </w:r>
      <w:r>
        <w:rPr>
          <w:rFonts w:hint="eastAsia" w:ascii="方正仿宋_GB2312" w:hAnsi="方正仿宋_GB2312" w:eastAsia="方正仿宋_GB2312" w:cs="方正仿宋_GB2312"/>
          <w:b/>
          <w:bCs/>
          <w:sz w:val="32"/>
          <w:szCs w:val="32"/>
          <w:highlight w:val="none"/>
          <w:lang w:val="en-US" w:eastAsia="zh-CN"/>
        </w:rPr>
        <w:t>二是坚持节假日值班值守。</w:t>
      </w:r>
      <w:r>
        <w:rPr>
          <w:rFonts w:hint="eastAsia" w:ascii="方正仿宋_GB2312" w:hAnsi="方正仿宋_GB2312" w:eastAsia="方正仿宋_GB2312" w:cs="方正仿宋_GB2312"/>
          <w:b w:val="0"/>
          <w:bCs w:val="0"/>
          <w:sz w:val="32"/>
          <w:szCs w:val="32"/>
          <w:highlight w:val="none"/>
          <w:lang w:val="en-US" w:eastAsia="zh-CN"/>
        </w:rPr>
        <w:t>我分中心管养的国省干线是市区联通各县区重要交通节点，车流量大，今年来我分中心在节假日尤其是元旦、五一、中秋、国庆期间加强值班值守，发动志愿者开展文明劝阻保畅通。</w:t>
      </w:r>
    </w:p>
    <w:p w14:paraId="52164802">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420" w:leftChars="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（三）争先创优展风采</w:t>
      </w:r>
    </w:p>
    <w:p w14:paraId="4497FDF2">
      <w:pPr>
        <w:keepNext w:val="0"/>
        <w:keepLines w:val="0"/>
        <w:pageBreakBefore w:val="0"/>
        <w:widowControl w:val="0"/>
        <w:kinsoku/>
        <w:wordWrap/>
        <w:overflowPunct/>
        <w:topLinePunct w:val="0"/>
        <w:autoSpaceDE w:val="0"/>
        <w:autoSpaceDN/>
        <w:bidi w:val="0"/>
        <w:adjustRightInd/>
        <w:snapToGrid/>
        <w:ind w:firstLine="640" w:firstLineChars="20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今年来，我分中心深入贯彻习近平总书记关于“四好农村路”重要指示，进一步展现蒸湘区农村公路建设成果，不断加大宣传工作力度，创优创先，树立蒸湘公路良好形象。</w:t>
      </w:r>
    </w:p>
    <w:p w14:paraId="781FE038">
      <w:pPr>
        <w:pStyle w:val="5"/>
        <w:widowControl/>
        <w:ind w:firstLine="640"/>
        <w:rPr>
          <w:rFonts w:eastAsia="黑体"/>
          <w:sz w:val="32"/>
          <w:szCs w:val="32"/>
        </w:rPr>
      </w:pPr>
      <w:r>
        <w:rPr>
          <w:rFonts w:eastAsia="黑体"/>
          <w:sz w:val="32"/>
          <w:szCs w:val="32"/>
        </w:rPr>
        <w:t>七、存在的问题及原因分析</w:t>
      </w:r>
    </w:p>
    <w:p w14:paraId="2E935010">
      <w:pPr>
        <w:keepNext w:val="0"/>
        <w:keepLines w:val="0"/>
        <w:pageBreakBefore w:val="0"/>
        <w:widowControl w:val="0"/>
        <w:kinsoku/>
        <w:wordWrap/>
        <w:overflowPunct/>
        <w:topLinePunct w:val="0"/>
        <w:autoSpaceDE w:val="0"/>
        <w:autoSpaceDN/>
        <w:bidi w:val="0"/>
        <w:adjustRightInd/>
        <w:snapToGrid/>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一方面由于基本支出中日常公用经费保障不足，造成部门预算编制与实际执行存在一定脱节和偏差；另一方面因单位无动态调整的可支配收入，收入来源比较单一。</w:t>
      </w:r>
    </w:p>
    <w:p w14:paraId="09A31C22">
      <w:pPr>
        <w:widowControl/>
        <w:numPr>
          <w:ilvl w:val="0"/>
          <w:numId w:val="4"/>
        </w:numPr>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14:paraId="5F8C7999">
      <w:pPr>
        <w:keepNext w:val="0"/>
        <w:keepLines w:val="0"/>
        <w:pageBreakBefore w:val="0"/>
        <w:widowControl w:val="0"/>
        <w:kinsoku/>
        <w:wordWrap/>
        <w:overflowPunct/>
        <w:topLinePunct w:val="0"/>
        <w:autoSpaceDE w:val="0"/>
        <w:autoSpaceDN/>
        <w:bidi w:val="0"/>
        <w:adjustRightInd/>
        <w:snapToGrid/>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进一步加强预算管理，严格按照财政定额标准，编足编实基本支出，压缩非必要、绩效不佳的项目支出。</w:t>
      </w:r>
    </w:p>
    <w:p w14:paraId="1C31A298">
      <w:pPr>
        <w:pStyle w:val="5"/>
        <w:widowControl/>
        <w:ind w:firstLine="640"/>
      </w:pPr>
      <w:r>
        <w:rPr>
          <w:rFonts w:ascii="Times New Roman" w:hAnsi="Times New Roman" w:eastAsia="黑体"/>
          <w:sz w:val="32"/>
          <w:szCs w:val="32"/>
        </w:rPr>
        <w:t>九、其他需要说明的情况</w:t>
      </w:r>
      <w:r>
        <w:rPr>
          <w:rFonts w:hint="eastAsia" w:eastAsia="黑体"/>
          <w:sz w:val="32"/>
          <w:szCs w:val="3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E37CE"/>
    <w:multiLevelType w:val="singleLevel"/>
    <w:tmpl w:val="8ACE37CE"/>
    <w:lvl w:ilvl="0" w:tentative="0">
      <w:start w:val="1"/>
      <w:numFmt w:val="chineseCounting"/>
      <w:suff w:val="nothing"/>
      <w:lvlText w:val="（%1）"/>
      <w:lvlJc w:val="left"/>
      <w:pPr>
        <w:ind w:left="0" w:firstLine="420"/>
      </w:pPr>
      <w:rPr>
        <w:rFonts w:hint="eastAsia"/>
      </w:rPr>
    </w:lvl>
  </w:abstractNum>
  <w:abstractNum w:abstractNumId="1">
    <w:nsid w:val="B70F8944"/>
    <w:multiLevelType w:val="singleLevel"/>
    <w:tmpl w:val="B70F8944"/>
    <w:lvl w:ilvl="0" w:tentative="0">
      <w:start w:val="1"/>
      <w:numFmt w:val="chineseCounting"/>
      <w:suff w:val="nothing"/>
      <w:lvlText w:val="%1、"/>
      <w:lvlJc w:val="left"/>
      <w:rPr>
        <w:rFonts w:hint="eastAsia"/>
      </w:rPr>
    </w:lvl>
  </w:abstractNum>
  <w:abstractNum w:abstractNumId="2">
    <w:nsid w:val="F388E86D"/>
    <w:multiLevelType w:val="singleLevel"/>
    <w:tmpl w:val="F388E86D"/>
    <w:lvl w:ilvl="0" w:tentative="0">
      <w:start w:val="8"/>
      <w:numFmt w:val="chineseCounting"/>
      <w:suff w:val="nothing"/>
      <w:lvlText w:val="%1、"/>
      <w:lvlJc w:val="left"/>
      <w:rPr>
        <w:rFonts w:hint="eastAsia"/>
      </w:rPr>
    </w:lvl>
  </w:abstractNum>
  <w:abstractNum w:abstractNumId="3">
    <w:nsid w:val="4860F2BD"/>
    <w:multiLevelType w:val="singleLevel"/>
    <w:tmpl w:val="4860F2BD"/>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MmFiODNiOTMwOGQ3NGMxYjQ0ZTQ2OTQ2MGI5ZGYifQ=="/>
  </w:docVars>
  <w:rsids>
    <w:rsidRoot w:val="490D67E4"/>
    <w:rsid w:val="017B5688"/>
    <w:rsid w:val="02AD48A7"/>
    <w:rsid w:val="036B6076"/>
    <w:rsid w:val="040A3A02"/>
    <w:rsid w:val="04B769D7"/>
    <w:rsid w:val="050B0AD1"/>
    <w:rsid w:val="0515551D"/>
    <w:rsid w:val="05681A7F"/>
    <w:rsid w:val="05740424"/>
    <w:rsid w:val="06540256"/>
    <w:rsid w:val="06B807E5"/>
    <w:rsid w:val="08656034"/>
    <w:rsid w:val="0A96708F"/>
    <w:rsid w:val="0CEC57EF"/>
    <w:rsid w:val="0D662D48"/>
    <w:rsid w:val="0E3021C1"/>
    <w:rsid w:val="0F5016BA"/>
    <w:rsid w:val="12231CC3"/>
    <w:rsid w:val="130967BA"/>
    <w:rsid w:val="131119A8"/>
    <w:rsid w:val="14531B4D"/>
    <w:rsid w:val="14C52A4A"/>
    <w:rsid w:val="15F851E8"/>
    <w:rsid w:val="16096967"/>
    <w:rsid w:val="178E3DEE"/>
    <w:rsid w:val="18CB43A7"/>
    <w:rsid w:val="1A1F1582"/>
    <w:rsid w:val="1B543ED5"/>
    <w:rsid w:val="1B5E7755"/>
    <w:rsid w:val="1BF9122C"/>
    <w:rsid w:val="1DB63878"/>
    <w:rsid w:val="1DBF26F2"/>
    <w:rsid w:val="1E992C64"/>
    <w:rsid w:val="1EB9030D"/>
    <w:rsid w:val="1EEA12FF"/>
    <w:rsid w:val="1EEB6940"/>
    <w:rsid w:val="1FCD4EA9"/>
    <w:rsid w:val="20365C75"/>
    <w:rsid w:val="206E043A"/>
    <w:rsid w:val="20A91858"/>
    <w:rsid w:val="21B53E47"/>
    <w:rsid w:val="23284A00"/>
    <w:rsid w:val="23445482"/>
    <w:rsid w:val="23711B3C"/>
    <w:rsid w:val="23767606"/>
    <w:rsid w:val="24092228"/>
    <w:rsid w:val="24E24F53"/>
    <w:rsid w:val="262477ED"/>
    <w:rsid w:val="266D3A35"/>
    <w:rsid w:val="27F908E8"/>
    <w:rsid w:val="294C32E2"/>
    <w:rsid w:val="299F78B6"/>
    <w:rsid w:val="29F371D8"/>
    <w:rsid w:val="2AEA2DB3"/>
    <w:rsid w:val="2C047EA4"/>
    <w:rsid w:val="2C4265F2"/>
    <w:rsid w:val="2C574478"/>
    <w:rsid w:val="2C680C0C"/>
    <w:rsid w:val="2E141EF5"/>
    <w:rsid w:val="2F054A12"/>
    <w:rsid w:val="31E87920"/>
    <w:rsid w:val="326E6078"/>
    <w:rsid w:val="339E0BDF"/>
    <w:rsid w:val="34670FD0"/>
    <w:rsid w:val="34713BFD"/>
    <w:rsid w:val="380D6333"/>
    <w:rsid w:val="384A7902"/>
    <w:rsid w:val="39FC665F"/>
    <w:rsid w:val="3B06492D"/>
    <w:rsid w:val="3B506C62"/>
    <w:rsid w:val="3C1F0432"/>
    <w:rsid w:val="3D8A0292"/>
    <w:rsid w:val="3D9D5A63"/>
    <w:rsid w:val="3E2E0DB1"/>
    <w:rsid w:val="3E4660FB"/>
    <w:rsid w:val="3E6F5651"/>
    <w:rsid w:val="3E9055C8"/>
    <w:rsid w:val="3ED656D0"/>
    <w:rsid w:val="3EF73899"/>
    <w:rsid w:val="3F0227F8"/>
    <w:rsid w:val="3F670307"/>
    <w:rsid w:val="3FA255B3"/>
    <w:rsid w:val="40771A00"/>
    <w:rsid w:val="440A4F55"/>
    <w:rsid w:val="456D6663"/>
    <w:rsid w:val="4691012F"/>
    <w:rsid w:val="47242D51"/>
    <w:rsid w:val="487B1097"/>
    <w:rsid w:val="489A1243"/>
    <w:rsid w:val="490D67E4"/>
    <w:rsid w:val="492D05E3"/>
    <w:rsid w:val="4DFF7E96"/>
    <w:rsid w:val="4F0E4A13"/>
    <w:rsid w:val="4F700A9A"/>
    <w:rsid w:val="4FDB73C7"/>
    <w:rsid w:val="5133250E"/>
    <w:rsid w:val="526D7CA2"/>
    <w:rsid w:val="52AF2069"/>
    <w:rsid w:val="52CC2C1B"/>
    <w:rsid w:val="532C5467"/>
    <w:rsid w:val="538E6122"/>
    <w:rsid w:val="541B1826"/>
    <w:rsid w:val="548B440F"/>
    <w:rsid w:val="57CC7313"/>
    <w:rsid w:val="584C4139"/>
    <w:rsid w:val="596D085C"/>
    <w:rsid w:val="59A1650C"/>
    <w:rsid w:val="5B995664"/>
    <w:rsid w:val="5CE62B2B"/>
    <w:rsid w:val="5D333896"/>
    <w:rsid w:val="5FF53085"/>
    <w:rsid w:val="60CE7B5E"/>
    <w:rsid w:val="63584057"/>
    <w:rsid w:val="64265F03"/>
    <w:rsid w:val="645A5BAC"/>
    <w:rsid w:val="64DC7109"/>
    <w:rsid w:val="67045135"/>
    <w:rsid w:val="67E03D37"/>
    <w:rsid w:val="68694610"/>
    <w:rsid w:val="6888718C"/>
    <w:rsid w:val="698414AB"/>
    <w:rsid w:val="6A5135AE"/>
    <w:rsid w:val="6ABB3600"/>
    <w:rsid w:val="6B572117"/>
    <w:rsid w:val="6B9D2F4E"/>
    <w:rsid w:val="6BB169FA"/>
    <w:rsid w:val="6BFF119A"/>
    <w:rsid w:val="6C254FDC"/>
    <w:rsid w:val="6D834BF5"/>
    <w:rsid w:val="6E58315D"/>
    <w:rsid w:val="6E6B2E90"/>
    <w:rsid w:val="6E8201DA"/>
    <w:rsid w:val="6F347726"/>
    <w:rsid w:val="6FBE3493"/>
    <w:rsid w:val="6FD96701"/>
    <w:rsid w:val="7008461D"/>
    <w:rsid w:val="71A36DE5"/>
    <w:rsid w:val="71AD37BF"/>
    <w:rsid w:val="73993FFB"/>
    <w:rsid w:val="750D03A6"/>
    <w:rsid w:val="753D12FE"/>
    <w:rsid w:val="755F5AAF"/>
    <w:rsid w:val="77B37088"/>
    <w:rsid w:val="787B4617"/>
    <w:rsid w:val="788F3C1F"/>
    <w:rsid w:val="7D823D52"/>
    <w:rsid w:val="7DAE65D3"/>
    <w:rsid w:val="7DC205F3"/>
    <w:rsid w:val="7E2F6D74"/>
    <w:rsid w:val="7EB42631"/>
    <w:rsid w:val="7EFC7B34"/>
    <w:rsid w:val="7F22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jc w:val="left"/>
    </w:pPr>
    <w:rPr>
      <w:rFonts w:ascii="仿宋" w:hAnsi="仿宋" w:eastAsia="仿宋" w:cs="仿宋"/>
      <w:kern w:val="0"/>
      <w:sz w:val="32"/>
      <w:szCs w:val="32"/>
      <w:lang w:val="zh-CN" w:bidi="zh-CN"/>
    </w:rPr>
  </w:style>
  <w:style w:type="paragraph" w:styleId="5">
    <w:name w:val="List Paragraph"/>
    <w:basedOn w:val="1"/>
    <w:autoRedefine/>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3238</Words>
  <Characters>3410</Characters>
  <Lines>0</Lines>
  <Paragraphs>0</Paragraphs>
  <TotalTime>44</TotalTime>
  <ScaleCrop>false</ScaleCrop>
  <LinksUpToDate>false</LinksUpToDate>
  <CharactersWithSpaces>3418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2024-03-27T02:31:00Z</dcterms:created>
  <dc:creator>하청요</dc:creator>
  <cp:lastModifiedBy>Administrator</cp:lastModifiedBy>
  <dcterms:modified xsi:type="dcterms:W3CDTF">2025-03-05T08:21:25Z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4A4ED55140474AE59B71D7FB9A9CF464_11</vt:lpwstr>
  </property>
  <property fmtid="{D5CDD505-2E9C-101B-9397-08002B2CF9AE}" pid="4" name="KSOTemplateDocerSaveRecord">
    <vt:lpwstr>eyJoZGlkIjoiZTI0OGM4MjRhYTYxYTljYzNlNjQ2OTYyZWM1NTdkMWYifQ==</vt:lpwstr>
  </property>
</Properties>
</file>