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5EE0C">
      <w:pPr>
        <w:spacing w:afterLines="100"/>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eastAsia="zh-CN"/>
        </w:rPr>
        <w:t>附</w:t>
      </w:r>
      <w:r>
        <w:rPr>
          <w:rFonts w:hint="eastAsia" w:ascii="仿宋_GB2312" w:hAnsi="Times New Roman" w:eastAsia="仿宋_GB2312"/>
          <w:kern w:val="0"/>
          <w:sz w:val="32"/>
          <w:szCs w:val="32"/>
        </w:rPr>
        <w:t>件</w:t>
      </w:r>
      <w:r>
        <w:rPr>
          <w:rFonts w:hint="eastAsia" w:ascii="仿宋_GB2312" w:hAnsi="Times New Roman" w:eastAsia="仿宋_GB2312"/>
          <w:kern w:val="0"/>
          <w:sz w:val="32"/>
          <w:szCs w:val="32"/>
          <w:lang w:val="en-US" w:eastAsia="zh-CN"/>
        </w:rPr>
        <w:t>2</w:t>
      </w:r>
    </w:p>
    <w:p w14:paraId="6867775D">
      <w:pPr>
        <w:rPr>
          <w:rFonts w:ascii="Times New Roman" w:hAnsi="Times New Roman" w:eastAsia="黑体"/>
          <w:sz w:val="32"/>
          <w:szCs w:val="32"/>
        </w:rPr>
      </w:pPr>
    </w:p>
    <w:p w14:paraId="313ECD9B">
      <w:pPr>
        <w:rPr>
          <w:rFonts w:ascii="Times New Roman" w:hAnsi="Times New Roman" w:eastAsia="黑体"/>
          <w:sz w:val="32"/>
          <w:szCs w:val="32"/>
        </w:rPr>
      </w:pPr>
    </w:p>
    <w:p w14:paraId="25F8944F">
      <w:pPr>
        <w:rPr>
          <w:rFonts w:ascii="Times New Roman" w:hAnsi="Times New Roman" w:eastAsia="黑体"/>
          <w:sz w:val="32"/>
          <w:szCs w:val="32"/>
        </w:rPr>
      </w:pPr>
    </w:p>
    <w:p w14:paraId="16F629D6">
      <w:pPr>
        <w:rPr>
          <w:rFonts w:ascii="Times New Roman" w:hAnsi="Times New Roman" w:eastAsia="黑体"/>
          <w:sz w:val="32"/>
          <w:szCs w:val="32"/>
        </w:rPr>
      </w:pPr>
    </w:p>
    <w:p w14:paraId="3DB7D565">
      <w:pPr>
        <w:jc w:val="center"/>
        <w:rPr>
          <w:rFonts w:ascii="方正小标宋简体" w:hAnsi="Times New Roman" w:eastAsia="方正小标宋简体"/>
          <w:sz w:val="48"/>
          <w:szCs w:val="48"/>
        </w:rPr>
      </w:pPr>
      <w:r>
        <w:rPr>
          <w:rFonts w:ascii="方正小标宋简体" w:hAnsi="Times New Roman" w:eastAsia="方正小标宋简体"/>
          <w:sz w:val="48"/>
          <w:szCs w:val="48"/>
        </w:rPr>
        <w:t>202</w:t>
      </w:r>
      <w:r>
        <w:rPr>
          <w:rFonts w:hint="default" w:ascii="方正小标宋简体" w:hAnsi="Times New Roman" w:eastAsia="方正小标宋简体"/>
          <w:sz w:val="48"/>
          <w:szCs w:val="48"/>
          <w:lang w:val="en" w:eastAsia="zh-CN"/>
        </w:rPr>
        <w:t>4</w:t>
      </w:r>
      <w:r>
        <w:rPr>
          <w:rFonts w:hint="eastAsia" w:ascii="方正小标宋简体" w:hAnsi="Times New Roman" w:eastAsia="方正小标宋简体"/>
          <w:sz w:val="48"/>
          <w:szCs w:val="48"/>
        </w:rPr>
        <w:t>年度部门整体支出绩效自评报告</w:t>
      </w:r>
    </w:p>
    <w:p w14:paraId="5122F398">
      <w:pPr>
        <w:jc w:val="center"/>
        <w:rPr>
          <w:rFonts w:ascii="Times New Roman" w:hAnsi="Times New Roman" w:eastAsia="黑体"/>
          <w:sz w:val="32"/>
          <w:szCs w:val="32"/>
        </w:rPr>
      </w:pPr>
    </w:p>
    <w:p w14:paraId="018AF917">
      <w:pPr>
        <w:jc w:val="center"/>
        <w:rPr>
          <w:rFonts w:ascii="Times New Roman" w:hAnsi="Times New Roman" w:eastAsia="黑体"/>
          <w:sz w:val="32"/>
          <w:szCs w:val="32"/>
        </w:rPr>
      </w:pPr>
    </w:p>
    <w:p w14:paraId="7ADA32C2">
      <w:pPr>
        <w:jc w:val="center"/>
        <w:rPr>
          <w:rFonts w:ascii="Times New Roman" w:hAnsi="Times New Roman" w:eastAsia="黑体"/>
          <w:sz w:val="32"/>
          <w:szCs w:val="32"/>
        </w:rPr>
      </w:pPr>
    </w:p>
    <w:p w14:paraId="568E0E42">
      <w:pPr>
        <w:jc w:val="center"/>
        <w:rPr>
          <w:rFonts w:ascii="Times New Roman" w:hAnsi="Times New Roman" w:eastAsia="黑体"/>
          <w:sz w:val="32"/>
          <w:szCs w:val="32"/>
        </w:rPr>
      </w:pPr>
    </w:p>
    <w:p w14:paraId="3A26DACC">
      <w:pPr>
        <w:jc w:val="center"/>
        <w:rPr>
          <w:rFonts w:ascii="Times New Roman" w:hAnsi="Times New Roman" w:eastAsia="黑体"/>
          <w:sz w:val="32"/>
          <w:szCs w:val="32"/>
        </w:rPr>
      </w:pPr>
    </w:p>
    <w:p w14:paraId="558CAB37">
      <w:pPr>
        <w:jc w:val="center"/>
        <w:rPr>
          <w:rFonts w:ascii="Times New Roman" w:hAnsi="Times New Roman" w:eastAsia="黑体"/>
          <w:sz w:val="32"/>
          <w:szCs w:val="32"/>
        </w:rPr>
      </w:pPr>
    </w:p>
    <w:p w14:paraId="3D7361EF">
      <w:pPr>
        <w:rPr>
          <w:rFonts w:ascii="Times New Roman" w:hAnsi="Times New Roman" w:eastAsia="黑体"/>
          <w:sz w:val="32"/>
          <w:szCs w:val="32"/>
        </w:rPr>
      </w:pPr>
    </w:p>
    <w:p w14:paraId="19C4EABD">
      <w:pPr>
        <w:jc w:val="center"/>
        <w:rPr>
          <w:rFonts w:ascii="Times New Roman" w:hAnsi="Times New Roman" w:eastAsia="黑体"/>
          <w:sz w:val="32"/>
          <w:szCs w:val="32"/>
        </w:rPr>
      </w:pPr>
    </w:p>
    <w:p w14:paraId="49E5FC7F">
      <w:pPr>
        <w:jc w:val="center"/>
        <w:rPr>
          <w:rFonts w:hint="eastAsia" w:ascii="Times New Roman" w:hAnsi="Times New Roman" w:eastAsia="宋体"/>
          <w:sz w:val="36"/>
          <w:szCs w:val="36"/>
          <w:lang w:eastAsia="zh-CN"/>
        </w:rPr>
      </w:pPr>
      <w:r>
        <w:rPr>
          <w:rFonts w:hint="eastAsia" w:ascii="Times New Roman" w:hAnsi="Times New Roman" w:eastAsia="宋体"/>
          <w:sz w:val="36"/>
          <w:szCs w:val="36"/>
          <w:lang w:val="en-US" w:eastAsia="zh-CN"/>
        </w:rPr>
        <w:t xml:space="preserve">     </w:t>
      </w:r>
      <w:r>
        <w:rPr>
          <w:rFonts w:hint="eastAsia" w:ascii="Times New Roman" w:hAnsi="Times New Roman" w:eastAsia="宋体"/>
          <w:sz w:val="36"/>
          <w:szCs w:val="36"/>
        </w:rPr>
        <w:t>单位名称：</w:t>
      </w:r>
      <w:r>
        <w:rPr>
          <w:rFonts w:hint="eastAsia" w:ascii="Times New Roman" w:hAnsi="Times New Roman" w:eastAsia="宋体"/>
          <w:sz w:val="36"/>
          <w:szCs w:val="36"/>
          <w:lang w:val="en-US" w:eastAsia="zh-CN"/>
        </w:rPr>
        <w:t xml:space="preserve">    </w:t>
      </w:r>
      <w:r>
        <w:rPr>
          <w:rFonts w:hint="eastAsia" w:ascii="Times New Roman" w:hAnsi="Times New Roman" w:eastAsia="宋体"/>
          <w:sz w:val="36"/>
          <w:szCs w:val="36"/>
          <w:lang w:eastAsia="zh-CN"/>
        </w:rPr>
        <w:t>衡阳市公安局</w:t>
      </w:r>
    </w:p>
    <w:p w14:paraId="169F2F13">
      <w:pPr>
        <w:ind w:firstLine="2160" w:firstLineChars="600"/>
        <w:jc w:val="both"/>
        <w:rPr>
          <w:rFonts w:hint="eastAsia" w:ascii="Times New Roman" w:hAnsi="Times New Roman" w:eastAsia="宋体"/>
          <w:sz w:val="36"/>
          <w:szCs w:val="36"/>
          <w:lang w:val="en" w:eastAsia="zh-CN"/>
        </w:rPr>
      </w:pPr>
      <w:r>
        <w:rPr>
          <w:rFonts w:hint="eastAsia" w:ascii="Times New Roman" w:hAnsi="Times New Roman" w:eastAsia="宋体"/>
          <w:sz w:val="36"/>
          <w:szCs w:val="36"/>
          <w:lang w:val="en" w:eastAsia="zh-CN"/>
        </w:rPr>
        <w:t>主要负责人签字：</w:t>
      </w:r>
    </w:p>
    <w:p w14:paraId="287909AA">
      <w:pPr>
        <w:jc w:val="center"/>
        <w:rPr>
          <w:rFonts w:ascii="Times New Roman" w:hAnsi="Times New Roman" w:eastAsia="黑体"/>
          <w:sz w:val="36"/>
          <w:szCs w:val="36"/>
        </w:rPr>
      </w:pPr>
    </w:p>
    <w:p w14:paraId="7557936B">
      <w:pPr>
        <w:jc w:val="center"/>
        <w:rPr>
          <w:rFonts w:ascii="Times New Roman" w:hAnsi="Times New Roman" w:eastAsia="黑体"/>
          <w:sz w:val="32"/>
          <w:szCs w:val="32"/>
        </w:rPr>
      </w:pPr>
      <w:r>
        <w:rPr>
          <w:rFonts w:hint="eastAsia" w:ascii="Times New Roman" w:hAnsi="Times New Roman" w:eastAsia="黑体"/>
          <w:sz w:val="32"/>
          <w:szCs w:val="32"/>
          <w:lang w:val="en-US" w:eastAsia="zh-CN"/>
        </w:rPr>
        <w:t>202</w:t>
      </w:r>
      <w:r>
        <w:rPr>
          <w:rFonts w:hint="default" w:ascii="Times New Roman" w:hAnsi="Times New Roman" w:eastAsia="黑体"/>
          <w:sz w:val="32"/>
          <w:szCs w:val="32"/>
          <w:lang w:val="en" w:eastAsia="zh-CN"/>
        </w:rPr>
        <w:t>5</w:t>
      </w:r>
      <w:r>
        <w:rPr>
          <w:rFonts w:hint="eastAsia" w:ascii="Times New Roman" w:hAnsi="Times New Roman" w:eastAsia="黑体"/>
          <w:sz w:val="32"/>
          <w:szCs w:val="32"/>
        </w:rPr>
        <w:t>年</w:t>
      </w:r>
      <w:r>
        <w:rPr>
          <w:rFonts w:ascii="Times New Roman" w:hAnsi="Times New Roman" w:eastAsia="黑体"/>
          <w:sz w:val="32"/>
          <w:szCs w:val="32"/>
        </w:rPr>
        <w:t xml:space="preserve"> </w:t>
      </w:r>
      <w:r>
        <w:rPr>
          <w:rFonts w:hint="default" w:ascii="Times New Roman" w:hAnsi="Times New Roman" w:eastAsia="黑体"/>
          <w:sz w:val="32"/>
          <w:szCs w:val="32"/>
          <w:lang w:val="en" w:eastAsia="zh-CN"/>
        </w:rPr>
        <w:t>5</w:t>
      </w:r>
      <w:r>
        <w:rPr>
          <w:rFonts w:hint="eastAsia" w:ascii="Times New Roman" w:hAnsi="Times New Roman" w:eastAsia="黑体"/>
          <w:sz w:val="32"/>
          <w:szCs w:val="32"/>
        </w:rPr>
        <w:t>月</w:t>
      </w:r>
      <w:r>
        <w:rPr>
          <w:rFonts w:ascii="Times New Roman" w:hAnsi="Times New Roman" w:eastAsia="黑体"/>
          <w:sz w:val="32"/>
          <w:szCs w:val="32"/>
        </w:rPr>
        <w:t xml:space="preserve"> </w:t>
      </w:r>
      <w:r>
        <w:rPr>
          <w:rFonts w:hint="default" w:ascii="Times New Roman" w:hAnsi="Times New Roman" w:eastAsia="黑体"/>
          <w:sz w:val="32"/>
          <w:szCs w:val="32"/>
          <w:lang w:val="en" w:eastAsia="zh-CN"/>
        </w:rPr>
        <w:t>26</w:t>
      </w:r>
      <w:r>
        <w:rPr>
          <w:rFonts w:hint="eastAsia" w:ascii="Times New Roman" w:hAnsi="Times New Roman" w:eastAsia="黑体"/>
          <w:sz w:val="32"/>
          <w:szCs w:val="32"/>
        </w:rPr>
        <w:t>日</w:t>
      </w:r>
    </w:p>
    <w:p w14:paraId="5236FBE8">
      <w:pPr>
        <w:jc w:val="center"/>
        <w:rPr>
          <w:rFonts w:ascii="Times New Roman" w:hAnsi="Times New Roman" w:eastAsia="黑体"/>
          <w:sz w:val="32"/>
          <w:szCs w:val="32"/>
        </w:rPr>
      </w:pPr>
    </w:p>
    <w:p w14:paraId="67F2DD0B">
      <w:pPr>
        <w:jc w:val="center"/>
        <w:rPr>
          <w:rFonts w:ascii="Times New Roman" w:hAnsi="Times New Roman" w:eastAsia="黑体"/>
          <w:sz w:val="32"/>
          <w:szCs w:val="32"/>
        </w:rPr>
      </w:pPr>
    </w:p>
    <w:p w14:paraId="2CF8991A">
      <w:pPr>
        <w:jc w:val="center"/>
        <w:rPr>
          <w:rFonts w:ascii="Times New Roman" w:hAnsi="Times New Roman" w:eastAsia="黑体"/>
          <w:sz w:val="32"/>
          <w:szCs w:val="32"/>
        </w:rPr>
      </w:pPr>
    </w:p>
    <w:p w14:paraId="172401B1">
      <w:pPr>
        <w:pStyle w:val="11"/>
        <w:widowControl/>
        <w:numPr>
          <w:ilvl w:val="0"/>
          <w:numId w:val="1"/>
        </w:numPr>
        <w:ind w:firstLine="640"/>
        <w:rPr>
          <w:rFonts w:hint="eastAsia" w:eastAsia="黑体"/>
          <w:sz w:val="32"/>
          <w:szCs w:val="32"/>
        </w:rPr>
      </w:pPr>
      <w:r>
        <w:rPr>
          <w:rFonts w:hint="eastAsia" w:eastAsia="黑体"/>
          <w:sz w:val="32"/>
          <w:szCs w:val="32"/>
        </w:rPr>
        <w:t>部门、单位基本情况</w:t>
      </w:r>
    </w:p>
    <w:p w14:paraId="34A0E7AD">
      <w:pPr>
        <w:autoSpaceDE/>
        <w:autoSpaceDN/>
        <w:spacing w:line="360" w:lineRule="auto"/>
        <w:ind w:firstLine="643" w:firstLineChars="200"/>
        <w:jc w:val="both"/>
        <w:rPr>
          <w:rFonts w:ascii="楷体" w:eastAsia="楷体"/>
          <w:b/>
          <w:bCs/>
          <w:color w:val="000000"/>
          <w:sz w:val="32"/>
          <w:szCs w:val="32"/>
        </w:rPr>
      </w:pPr>
      <w:r>
        <w:rPr>
          <w:rFonts w:hint="eastAsia" w:ascii="楷体" w:eastAsia="楷体"/>
          <w:b/>
          <w:bCs/>
          <w:color w:val="000000"/>
          <w:sz w:val="32"/>
          <w:szCs w:val="32"/>
        </w:rPr>
        <w:t>（一）部门基本概况</w:t>
      </w:r>
    </w:p>
    <w:p w14:paraId="1DF20F6B">
      <w:pPr>
        <w:pStyle w:val="5"/>
        <w:autoSpaceDE/>
        <w:autoSpaceDN/>
        <w:spacing w:line="360" w:lineRule="auto"/>
        <w:ind w:firstLine="608" w:firstLineChars="200"/>
        <w:jc w:val="both"/>
        <w:rPr>
          <w:rFonts w:hint="eastAsia" w:ascii="仿宋_GB2312" w:hAnsi="仿宋_GB2312" w:eastAsia="仿宋_GB2312" w:cs="仿宋_GB2312"/>
          <w:color w:val="000000"/>
          <w:w w:val="95"/>
          <w:lang w:val="en-US"/>
        </w:rPr>
      </w:pPr>
      <w:r>
        <w:rPr>
          <w:rFonts w:hint="eastAsia" w:ascii="仿宋_GB2312" w:hAnsi="仿宋_GB2312" w:eastAsia="仿宋_GB2312" w:cs="仿宋_GB2312"/>
          <w:color w:val="000000"/>
          <w:w w:val="95"/>
          <w:lang w:val="en-US"/>
        </w:rPr>
        <w:t>根据《中共衡阳市委衡阳市人民政府关于印发〈衡阳市人民政府机构改革方案的实施意见〉</w:t>
      </w:r>
      <w:bookmarkStart w:id="2" w:name="_GoBack"/>
      <w:bookmarkEnd w:id="2"/>
      <w:r>
        <w:rPr>
          <w:rFonts w:hint="eastAsia" w:ascii="仿宋_GB2312" w:hAnsi="仿宋_GB2312" w:eastAsia="仿宋_GB2312" w:cs="仿宋_GB2312"/>
          <w:color w:val="000000"/>
          <w:w w:val="95"/>
          <w:lang w:val="en-US"/>
        </w:rPr>
        <w:t>的通知》（衡发</w:t>
      </w:r>
      <w:r>
        <w:rPr>
          <w:rFonts w:hint="eastAsia" w:ascii="仿宋_GB2312" w:hAnsi="仿宋_GB2312" w:eastAsia="仿宋_GB2312" w:cs="仿宋_GB2312"/>
          <w:color w:val="000000"/>
        </w:rPr>
        <w:t>[</w:t>
      </w:r>
      <w:r>
        <w:rPr>
          <w:rFonts w:hint="eastAsia" w:ascii="仿宋_GB2312" w:hAnsi="仿宋_GB2312" w:eastAsia="仿宋_GB2312" w:cs="仿宋_GB2312"/>
          <w:color w:val="000000"/>
          <w:w w:val="95"/>
          <w:lang w:val="en-US"/>
        </w:rPr>
        <w:t>2010</w:t>
      </w:r>
      <w:r>
        <w:rPr>
          <w:rFonts w:hint="eastAsia" w:ascii="仿宋_GB2312" w:hAnsi="仿宋_GB2312" w:eastAsia="仿宋_GB2312" w:cs="仿宋_GB2312"/>
          <w:color w:val="000000"/>
        </w:rPr>
        <w:t>]</w:t>
      </w:r>
      <w:r>
        <w:rPr>
          <w:rFonts w:hint="eastAsia" w:ascii="仿宋_GB2312" w:hAnsi="仿宋_GB2312" w:eastAsia="仿宋_GB2312" w:cs="仿宋_GB2312"/>
          <w:color w:val="000000"/>
          <w:w w:val="95"/>
          <w:lang w:val="en-US"/>
        </w:rPr>
        <w:t>3 号）和《中共衡阳市委衡阳市人民政府关于衡阳市人民政府机构设置的通知》（衡委</w:t>
      </w:r>
      <w:r>
        <w:rPr>
          <w:rFonts w:hint="eastAsia" w:ascii="仿宋_GB2312" w:hAnsi="仿宋_GB2312" w:eastAsia="仿宋_GB2312" w:cs="仿宋_GB2312"/>
          <w:color w:val="000000"/>
        </w:rPr>
        <w:t>[</w:t>
      </w:r>
      <w:r>
        <w:rPr>
          <w:rFonts w:hint="eastAsia" w:ascii="仿宋_GB2312" w:hAnsi="仿宋_GB2312" w:eastAsia="仿宋_GB2312" w:cs="仿宋_GB2312"/>
          <w:color w:val="000000"/>
          <w:w w:val="95"/>
          <w:lang w:val="en-US"/>
        </w:rPr>
        <w:t>2010</w:t>
      </w:r>
      <w:r>
        <w:rPr>
          <w:rFonts w:hint="eastAsia" w:ascii="仿宋_GB2312" w:hAnsi="仿宋_GB2312" w:eastAsia="仿宋_GB2312" w:cs="仿宋_GB2312"/>
          <w:color w:val="000000"/>
        </w:rPr>
        <w:t>]</w:t>
      </w:r>
      <w:r>
        <w:rPr>
          <w:rFonts w:hint="eastAsia" w:ascii="仿宋_GB2312" w:hAnsi="仿宋_GB2312" w:eastAsia="仿宋_GB2312" w:cs="仿宋_GB2312"/>
          <w:color w:val="000000"/>
          <w:w w:val="95"/>
          <w:lang w:val="en-US"/>
        </w:rPr>
        <w:t>4号），设立市公安局，为市人民政府工作部门。</w:t>
      </w:r>
    </w:p>
    <w:p w14:paraId="40AB3407">
      <w:pPr>
        <w:pStyle w:val="5"/>
        <w:spacing w:line="360" w:lineRule="auto"/>
        <w:ind w:left="630" w:leftChars="300"/>
        <w:jc w:val="both"/>
        <w:rPr>
          <w:rFonts w:ascii="楷体" w:hAnsi="楷体" w:eastAsia="楷体" w:cs="楷体"/>
          <w:b/>
          <w:bCs/>
          <w:color w:val="000000"/>
          <w:w w:val="95"/>
          <w:lang w:val="en-US"/>
        </w:rPr>
      </w:pPr>
      <w:r>
        <w:rPr>
          <w:rFonts w:hint="eastAsia" w:ascii="楷体" w:hAnsi="楷体" w:eastAsia="楷体" w:cs="楷体"/>
          <w:b/>
          <w:bCs/>
          <w:color w:val="000000"/>
          <w:w w:val="95"/>
          <w:lang w:val="en-US"/>
        </w:rPr>
        <w:t>1.市公安局主要职能职责</w:t>
      </w:r>
    </w:p>
    <w:p w14:paraId="3FB2DDB0">
      <w:pPr>
        <w:widowControl/>
        <w:adjustRightInd w:val="0"/>
        <w:snapToGrid w:val="0"/>
        <w:spacing w:line="360" w:lineRule="auto"/>
        <w:ind w:firstLine="608" w:firstLineChars="200"/>
        <w:jc w:val="both"/>
        <w:rPr>
          <w:rFonts w:hint="eastAsia" w:ascii="仿宋_GB2312" w:hAnsi="仿宋_GB2312" w:eastAsia="仿宋_GB2312" w:cs="仿宋_GB2312"/>
          <w:color w:val="000000"/>
          <w:w w:val="95"/>
          <w:sz w:val="32"/>
          <w:szCs w:val="32"/>
          <w:lang w:val="en-US"/>
        </w:rPr>
      </w:pPr>
      <w:r>
        <w:rPr>
          <w:rFonts w:hint="eastAsia" w:ascii="仿宋_GB2312" w:hAnsi="仿宋_GB2312" w:eastAsia="仿宋_GB2312" w:cs="仿宋_GB2312"/>
          <w:color w:val="000000"/>
          <w:w w:val="95"/>
          <w:sz w:val="32"/>
          <w:szCs w:val="32"/>
          <w:lang w:val="en-US"/>
        </w:rPr>
        <w:t xml:space="preserve">根据《中共衡阳市委衡阳市人民政府关于衡阳市人民政府机构设置的通知》（衡委[2010]4号），市公安局主要职能职责见表 1-1。 </w:t>
      </w:r>
    </w:p>
    <w:p w14:paraId="3B803042">
      <w:pPr>
        <w:widowControl/>
        <w:adjustRightInd w:val="0"/>
        <w:snapToGrid w:val="0"/>
        <w:spacing w:line="360" w:lineRule="auto"/>
        <w:ind w:firstLine="458" w:firstLineChars="200"/>
        <w:jc w:val="center"/>
        <w:rPr>
          <w:rFonts w:hint="eastAsia" w:ascii="仿宋_GB2312" w:hAnsi="仿宋_GB2312" w:eastAsia="仿宋_GB2312" w:cs="仿宋_GB2312"/>
          <w:b/>
          <w:bCs/>
          <w:color w:val="000000"/>
          <w:w w:val="95"/>
          <w:sz w:val="24"/>
          <w:szCs w:val="24"/>
          <w:lang w:val="en-US"/>
        </w:rPr>
      </w:pPr>
      <w:r>
        <w:rPr>
          <w:rFonts w:hint="eastAsia" w:ascii="仿宋_GB2312" w:hAnsi="仿宋_GB2312" w:eastAsia="仿宋_GB2312" w:cs="仿宋_GB2312"/>
          <w:b/>
          <w:bCs/>
          <w:color w:val="000000"/>
          <w:w w:val="95"/>
          <w:sz w:val="24"/>
          <w:szCs w:val="24"/>
          <w:lang w:val="en-US"/>
        </w:rPr>
        <w:t>表1-1市公安局职能职责</w:t>
      </w:r>
    </w:p>
    <w:tbl>
      <w:tblPr>
        <w:tblStyle w:val="9"/>
        <w:tblW w:w="8334" w:type="dxa"/>
        <w:jc w:val="center"/>
        <w:tblLayout w:type="fixed"/>
        <w:tblCellMar>
          <w:top w:w="0" w:type="dxa"/>
          <w:left w:w="0" w:type="dxa"/>
          <w:bottom w:w="0" w:type="dxa"/>
          <w:right w:w="0" w:type="dxa"/>
        </w:tblCellMar>
      </w:tblPr>
      <w:tblGrid>
        <w:gridCol w:w="756"/>
        <w:gridCol w:w="7578"/>
      </w:tblGrid>
      <w:tr w14:paraId="5E7DF59D">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2A4C66">
            <w:pPr>
              <w:widowControl/>
              <w:spacing w:line="264" w:lineRule="auto"/>
              <w:ind w:right="53" w:rightChars="25"/>
              <w:jc w:val="center"/>
              <w:textAlignment w:val="center"/>
              <w:rPr>
                <w:rFonts w:hint="eastAsia" w:ascii="仿宋_GB2312" w:hAnsi="仿宋_GB2312" w:eastAsia="仿宋_GB2312" w:cs="仿宋_GB2312"/>
                <w:b/>
                <w:bCs/>
                <w:color w:val="000000"/>
                <w:sz w:val="24"/>
                <w:szCs w:val="24"/>
                <w:lang w:val="en-US"/>
              </w:rPr>
            </w:pPr>
            <w:bookmarkStart w:id="0" w:name="（二）机构设置及人员情况"/>
            <w:bookmarkEnd w:id="0"/>
            <w:r>
              <w:rPr>
                <w:rFonts w:hint="eastAsia" w:ascii="仿宋_GB2312" w:hAnsi="仿宋_GB2312" w:eastAsia="仿宋_GB2312" w:cs="仿宋_GB2312"/>
                <w:b/>
                <w:bCs/>
                <w:color w:val="000000"/>
                <w:sz w:val="24"/>
                <w:szCs w:val="24"/>
                <w:lang w:val="en-US"/>
              </w:rPr>
              <w:t>序号</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F4AD2">
            <w:pPr>
              <w:widowControl/>
              <w:spacing w:line="264" w:lineRule="auto"/>
              <w:ind w:right="53" w:rightChars="25"/>
              <w:jc w:val="center"/>
              <w:textAlignment w:val="center"/>
              <w:rPr>
                <w:rFonts w:hint="eastAsia" w:ascii="仿宋_GB2312" w:hAnsi="仿宋_GB2312" w:eastAsia="仿宋_GB2312" w:cs="仿宋_GB2312"/>
                <w:b/>
                <w:bCs/>
                <w:color w:val="000000"/>
                <w:sz w:val="24"/>
                <w:szCs w:val="24"/>
                <w:lang w:val="en-US"/>
              </w:rPr>
            </w:pPr>
            <w:r>
              <w:rPr>
                <w:rFonts w:hint="eastAsia" w:ascii="仿宋_GB2312" w:hAnsi="仿宋_GB2312" w:eastAsia="仿宋_GB2312" w:cs="仿宋_GB2312"/>
                <w:b/>
                <w:bCs/>
                <w:color w:val="000000"/>
                <w:sz w:val="24"/>
                <w:szCs w:val="24"/>
                <w:lang w:val="en-US"/>
              </w:rPr>
              <w:t>主要职责</w:t>
            </w:r>
          </w:p>
        </w:tc>
      </w:tr>
      <w:tr w14:paraId="682690CA">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32A87">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1</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F495A6">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预防、制止和侦查违法犯罪活动；</w:t>
            </w:r>
          </w:p>
        </w:tc>
      </w:tr>
      <w:tr w14:paraId="353C9380">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0C74C">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2</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BDB2B4">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维护社会治安秩序，制止危害社会治安秩序的行为；</w:t>
            </w:r>
          </w:p>
        </w:tc>
      </w:tr>
      <w:tr w14:paraId="4B00E848">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15A0C9">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3</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9076B5">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维护交通安全和交通秩序，处理交通事故；</w:t>
            </w:r>
          </w:p>
        </w:tc>
      </w:tr>
      <w:tr w14:paraId="6047FCD4">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B77CA">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4</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246F79">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组织、实施消防工作，实行消防监督；</w:t>
            </w:r>
          </w:p>
        </w:tc>
      </w:tr>
      <w:tr w14:paraId="501E760C">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AC89F">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5</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F0A1D">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管理枪支弹药、管制刀具和易燃易爆、剧毒、放射等危险物品；</w:t>
            </w:r>
          </w:p>
        </w:tc>
      </w:tr>
      <w:tr w14:paraId="71A42060">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903A2">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6</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853B0D">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对法律、法规指定的特种行业进行管理；</w:t>
            </w:r>
          </w:p>
        </w:tc>
      </w:tr>
      <w:tr w14:paraId="1DFDA492">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36723">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7</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F8AC90">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警卫国家规定的特定人员，守卫重要的场所和设施；</w:t>
            </w:r>
          </w:p>
        </w:tc>
      </w:tr>
      <w:tr w14:paraId="5C979624">
        <w:tblPrEx>
          <w:tblCellMar>
            <w:top w:w="0" w:type="dxa"/>
            <w:left w:w="0" w:type="dxa"/>
            <w:bottom w:w="0" w:type="dxa"/>
            <w:right w:w="0" w:type="dxa"/>
          </w:tblCellMar>
        </w:tblPrEx>
        <w:trPr>
          <w:trHeight w:val="9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8B4DF">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8</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0425B">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管理集会、游行、示威活动；</w:t>
            </w:r>
          </w:p>
        </w:tc>
      </w:tr>
      <w:tr w14:paraId="1751DA27">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45AB7">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9</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B0CC4">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管理户政、国籍、入境出境事务和外国人在中国境内居留、旅行的有关事务；</w:t>
            </w:r>
          </w:p>
        </w:tc>
      </w:tr>
      <w:tr w14:paraId="75C8402E">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068453">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10</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3CC07">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维护国（边）境地区的治安秩序；</w:t>
            </w:r>
          </w:p>
        </w:tc>
      </w:tr>
      <w:tr w14:paraId="782A393F">
        <w:tblPrEx>
          <w:tblCellMar>
            <w:top w:w="0" w:type="dxa"/>
            <w:left w:w="0" w:type="dxa"/>
            <w:bottom w:w="0" w:type="dxa"/>
            <w:right w:w="0" w:type="dxa"/>
          </w:tblCellMar>
        </w:tblPrEx>
        <w:trPr>
          <w:trHeight w:val="7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AA5517">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11</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3E2789">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对被判处管制、拘役、剥夺政治权利的罪犯和监外执行的罪犯执行刑罚，对被宣告缓刑、假释的罪犯实行监督、考察；</w:t>
            </w:r>
          </w:p>
        </w:tc>
      </w:tr>
      <w:tr w14:paraId="70307F02">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9CB853">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12</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24673">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监督管理计算机信息系统的安全保护工作；</w:t>
            </w:r>
          </w:p>
        </w:tc>
      </w:tr>
      <w:tr w14:paraId="633FDFDB">
        <w:tblPrEx>
          <w:tblCellMar>
            <w:top w:w="0" w:type="dxa"/>
            <w:left w:w="0" w:type="dxa"/>
            <w:bottom w:w="0" w:type="dxa"/>
            <w:right w:w="0" w:type="dxa"/>
          </w:tblCellMar>
        </w:tblPrEx>
        <w:trPr>
          <w:trHeight w:val="6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C3991">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13</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D84B91">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指导和监督国家机关、社会团体、企业事业组织和重点建设工程的治安保卫工作，指导治安保卫委员会等群众性组织的治安防范工作；</w:t>
            </w:r>
          </w:p>
        </w:tc>
      </w:tr>
      <w:tr w14:paraId="1B307985">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A4B165">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14</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33AE14">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法律、法规规定的其他职责。</w:t>
            </w:r>
          </w:p>
        </w:tc>
      </w:tr>
    </w:tbl>
    <w:p w14:paraId="48C02394">
      <w:pPr>
        <w:pStyle w:val="5"/>
        <w:spacing w:line="360" w:lineRule="auto"/>
        <w:ind w:left="630" w:leftChars="300"/>
        <w:jc w:val="both"/>
        <w:rPr>
          <w:rFonts w:ascii="楷体" w:hAnsi="楷体" w:eastAsia="楷体" w:cs="楷体"/>
          <w:b/>
          <w:bCs/>
          <w:color w:val="000000"/>
          <w:w w:val="95"/>
          <w:lang w:val="en-US"/>
        </w:rPr>
      </w:pPr>
      <w:r>
        <w:rPr>
          <w:rFonts w:hint="eastAsia" w:ascii="楷体" w:hAnsi="楷体" w:eastAsia="楷体" w:cs="楷体"/>
          <w:b/>
          <w:bCs/>
          <w:color w:val="000000"/>
          <w:w w:val="95"/>
          <w:lang w:val="en-US"/>
        </w:rPr>
        <w:t>2.机构设置及人员情况</w:t>
      </w:r>
    </w:p>
    <w:p w14:paraId="3FF8FAB2">
      <w:pPr>
        <w:pStyle w:val="11"/>
        <w:widowControl/>
        <w:ind w:firstLine="640"/>
        <w:rPr>
          <w:rFonts w:hint="eastAsia" w:eastAsia="宋体"/>
          <w:color w:val="000000"/>
          <w:w w:val="95"/>
          <w:sz w:val="32"/>
          <w:szCs w:val="32"/>
          <w:lang w:val="en-US"/>
        </w:rPr>
      </w:pPr>
      <w:r>
        <w:rPr>
          <w:rFonts w:hint="eastAsia" w:ascii="Times New Roman" w:hAnsi="Times New Roman" w:eastAsia="仿宋" w:cs="Times New Roman"/>
          <w:color w:val="000000"/>
          <w:kern w:val="2"/>
          <w:sz w:val="32"/>
          <w:szCs w:val="32"/>
          <w:lang w:val="en-US" w:eastAsia="zh-CN" w:bidi="ar-SA"/>
        </w:rPr>
        <w:t>根据市人民政府批准的“三定”方案(衡政办发[2011]22号)和因工作需要新增机构的实际，市公安局设置内设机构 23个：警令部、政治部、警务保障处、法制支队、国保支队、刑侦支队、治安支队、交警支队、特巡警支队、经侦支队、禁毒支队、督察支队、监管支队、网络安全保卫与技术侦查支队、人口与出入境管理支队、警卫处、综合执法警察支队、科技信息化支队、单位内部安全保卫支队、有组织犯罪侦查支队、环境与食品药品犯罪侦查支队、反恐怖工作支队、监察留置看护管理支队；下设机构9个：警官培训中心、衡阳市看守所、衡阳市未成年人看守所、治安拘留与收容教育所、戒毒所、白沙洲戒毒康复中心、衡阳市女子看守所、衡阳市公安监管医院、行政审批服务中心。群团及老干组织5个：机关党委、工会、共青团、妇委会、离退休人员服务管理办公室。派出机构7个：珠晖、雁峰、石鼓、蒸湘、八角塘分局、高新开发区分局、南岳机场分局。其中副处机构</w:t>
      </w:r>
      <w:r>
        <w:rPr>
          <w:rFonts w:hint="eastAsia" w:eastAsia="仿宋" w:cs="Times New Roman"/>
          <w:color w:val="000000"/>
          <w:kern w:val="2"/>
          <w:sz w:val="32"/>
          <w:szCs w:val="32"/>
          <w:lang w:val="en-US" w:eastAsia="zh-CN" w:bidi="ar-SA"/>
        </w:rPr>
        <w:t>10</w:t>
      </w:r>
      <w:r>
        <w:rPr>
          <w:rFonts w:hint="eastAsia" w:ascii="Times New Roman" w:hAnsi="Times New Roman" w:eastAsia="仿宋" w:cs="Times New Roman"/>
          <w:color w:val="000000"/>
          <w:kern w:val="2"/>
          <w:sz w:val="32"/>
          <w:szCs w:val="32"/>
          <w:lang w:val="en-US" w:eastAsia="zh-CN" w:bidi="ar-SA"/>
        </w:rPr>
        <w:t>个，正科级机构</w:t>
      </w:r>
      <w:r>
        <w:rPr>
          <w:rFonts w:hint="eastAsia" w:eastAsia="仿宋" w:cs="Times New Roman"/>
          <w:color w:val="000000"/>
          <w:kern w:val="2"/>
          <w:sz w:val="32"/>
          <w:szCs w:val="32"/>
          <w:lang w:val="en-US" w:eastAsia="zh-CN" w:bidi="ar-SA"/>
        </w:rPr>
        <w:t>22</w:t>
      </w:r>
      <w:r>
        <w:rPr>
          <w:rFonts w:hint="eastAsia" w:ascii="Times New Roman" w:hAnsi="Times New Roman" w:eastAsia="仿宋" w:cs="Times New Roman"/>
          <w:color w:val="000000"/>
          <w:kern w:val="2"/>
          <w:sz w:val="32"/>
          <w:szCs w:val="32"/>
          <w:lang w:val="en-US" w:eastAsia="zh-CN" w:bidi="ar-SA"/>
        </w:rPr>
        <w:t>个。截至202</w:t>
      </w:r>
      <w:r>
        <w:rPr>
          <w:rFonts w:hint="default" w:eastAsia="仿宋" w:cs="Times New Roman"/>
          <w:color w:val="000000"/>
          <w:kern w:val="2"/>
          <w:sz w:val="32"/>
          <w:szCs w:val="32"/>
          <w:lang w:val="en" w:eastAsia="zh-CN" w:bidi="ar-SA"/>
        </w:rPr>
        <w:t>4</w:t>
      </w:r>
      <w:r>
        <w:rPr>
          <w:rFonts w:hint="eastAsia" w:ascii="Times New Roman" w:hAnsi="Times New Roman" w:eastAsia="仿宋" w:cs="Times New Roman"/>
          <w:color w:val="000000"/>
          <w:kern w:val="2"/>
          <w:sz w:val="32"/>
          <w:szCs w:val="32"/>
          <w:lang w:val="en-US" w:eastAsia="zh-CN" w:bidi="ar-SA"/>
        </w:rPr>
        <w:t>年12</w:t>
      </w:r>
      <w:r>
        <w:rPr>
          <w:rFonts w:hint="eastAsia" w:eastAsia="仿宋" w:cs="Times New Roman"/>
          <w:color w:val="000000"/>
          <w:kern w:val="2"/>
          <w:sz w:val="32"/>
          <w:szCs w:val="32"/>
          <w:lang w:val="en-US" w:eastAsia="zh-CN" w:bidi="ar-SA"/>
        </w:rPr>
        <w:t>月</w:t>
      </w:r>
      <w:r>
        <w:rPr>
          <w:rFonts w:hint="eastAsia" w:ascii="Times New Roman" w:hAnsi="Times New Roman" w:eastAsia="仿宋" w:cs="Times New Roman"/>
          <w:color w:val="000000"/>
          <w:kern w:val="2"/>
          <w:sz w:val="32"/>
          <w:szCs w:val="32"/>
          <w:lang w:val="en-US" w:eastAsia="zh-CN" w:bidi="ar-SA"/>
        </w:rPr>
        <w:t>，市公安局实际在编人数</w:t>
      </w:r>
      <w:r>
        <w:rPr>
          <w:rFonts w:hint="eastAsia" w:eastAsia="仿宋" w:cs="Times New Roman"/>
          <w:color w:val="000000"/>
          <w:kern w:val="2"/>
          <w:sz w:val="32"/>
          <w:szCs w:val="32"/>
          <w:lang w:val="en-US" w:eastAsia="zh-CN" w:bidi="ar-SA"/>
        </w:rPr>
        <w:t>2076</w:t>
      </w:r>
      <w:r>
        <w:rPr>
          <w:rFonts w:hint="eastAsia" w:ascii="Times New Roman" w:hAnsi="Times New Roman" w:eastAsia="仿宋" w:cs="Times New Roman"/>
          <w:color w:val="000000"/>
          <w:kern w:val="2"/>
          <w:sz w:val="32"/>
          <w:szCs w:val="32"/>
          <w:lang w:val="en-US" w:eastAsia="zh-CN" w:bidi="ar-SA"/>
        </w:rPr>
        <w:t>人</w:t>
      </w:r>
      <w:r>
        <w:rPr>
          <w:rFonts w:hint="eastAsia" w:eastAsia="仿宋" w:cs="Times New Roman"/>
          <w:color w:val="000000"/>
          <w:kern w:val="2"/>
          <w:sz w:val="32"/>
          <w:szCs w:val="32"/>
          <w:lang w:val="en-US" w:eastAsia="zh-CN" w:bidi="ar-SA"/>
        </w:rPr>
        <w:t>。</w:t>
      </w:r>
      <w:r>
        <w:rPr>
          <w:rFonts w:hint="default" w:eastAsia="仿宋" w:cs="Times New Roman"/>
          <w:color w:val="000000"/>
          <w:kern w:val="2"/>
          <w:sz w:val="32"/>
          <w:szCs w:val="32"/>
          <w:lang w:val="en" w:eastAsia="zh-CN" w:bidi="ar-SA"/>
        </w:rPr>
        <w:t>(</w:t>
      </w:r>
      <w:r>
        <w:rPr>
          <w:rFonts w:hint="eastAsia" w:eastAsia="仿宋" w:cs="Times New Roman"/>
          <w:color w:val="000000"/>
          <w:kern w:val="2"/>
          <w:sz w:val="32"/>
          <w:szCs w:val="32"/>
          <w:lang w:val="en" w:eastAsia="zh-CN" w:bidi="ar-SA"/>
        </w:rPr>
        <w:t>不含交警支队、高新分局、森林分局）</w:t>
      </w:r>
    </w:p>
    <w:p w14:paraId="5ADD9C45">
      <w:pPr>
        <w:pStyle w:val="11"/>
        <w:widowControl/>
        <w:numPr>
          <w:ilvl w:val="0"/>
          <w:numId w:val="1"/>
        </w:numPr>
        <w:tabs>
          <w:tab w:val="left" w:pos="579"/>
        </w:tabs>
        <w:ind w:left="0" w:leftChars="0" w:firstLine="640" w:firstLineChars="200"/>
        <w:rPr>
          <w:rFonts w:hint="eastAsia" w:eastAsia="黑体"/>
          <w:sz w:val="32"/>
          <w:szCs w:val="32"/>
        </w:rPr>
      </w:pPr>
      <w:r>
        <w:rPr>
          <w:rFonts w:hint="eastAsia" w:eastAsia="黑体"/>
          <w:sz w:val="32"/>
          <w:szCs w:val="32"/>
        </w:rPr>
        <w:t>一般公共预算支出情况</w:t>
      </w:r>
    </w:p>
    <w:p w14:paraId="44BD2DDA">
      <w:pPr>
        <w:pStyle w:val="11"/>
        <w:widowControl/>
        <w:numPr>
          <w:ilvl w:val="0"/>
          <w:numId w:val="0"/>
        </w:numPr>
        <w:ind w:firstLine="640" w:firstLineChars="200"/>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当年市本级</w:t>
      </w:r>
      <w:r>
        <w:rPr>
          <w:rFonts w:hint="eastAsia" w:eastAsia="仿宋" w:cs="Times New Roman"/>
          <w:color w:val="000000"/>
          <w:kern w:val="2"/>
          <w:sz w:val="32"/>
          <w:szCs w:val="32"/>
          <w:lang w:val="en-US" w:eastAsia="zh-CN" w:bidi="ar-SA"/>
        </w:rPr>
        <w:t>实际</w:t>
      </w:r>
      <w:r>
        <w:rPr>
          <w:rFonts w:hint="eastAsia" w:ascii="Times New Roman" w:hAnsi="Times New Roman" w:eastAsia="仿宋" w:cs="Times New Roman"/>
          <w:color w:val="000000"/>
          <w:kern w:val="2"/>
          <w:sz w:val="32"/>
          <w:szCs w:val="32"/>
          <w:lang w:val="en-US" w:eastAsia="zh-CN" w:bidi="ar-SA"/>
        </w:rPr>
        <w:t>支出68222.91万元</w:t>
      </w:r>
      <w:r>
        <w:rPr>
          <w:rFonts w:hint="eastAsia" w:eastAsia="仿宋" w:cs="Times New Roman"/>
          <w:color w:val="000000"/>
          <w:kern w:val="2"/>
          <w:sz w:val="32"/>
          <w:szCs w:val="32"/>
          <w:lang w:val="en-US" w:eastAsia="zh-CN" w:bidi="ar-SA"/>
        </w:rPr>
        <w:t>。</w:t>
      </w:r>
    </w:p>
    <w:p w14:paraId="4535AF03">
      <w:pPr>
        <w:pStyle w:val="11"/>
        <w:widowControl/>
        <w:numPr>
          <w:ilvl w:val="0"/>
          <w:numId w:val="0"/>
        </w:numPr>
        <w:ind w:firstLine="643" w:firstLineChars="200"/>
        <w:rPr>
          <w:rFonts w:hint="eastAsia" w:eastAsia="楷体"/>
          <w:b/>
          <w:sz w:val="32"/>
          <w:szCs w:val="32"/>
        </w:rPr>
      </w:pPr>
      <w:r>
        <w:rPr>
          <w:rFonts w:hint="eastAsia" w:eastAsia="楷体"/>
          <w:b/>
          <w:sz w:val="32"/>
          <w:szCs w:val="32"/>
          <w:lang w:eastAsia="zh-CN"/>
        </w:rPr>
        <w:t>（一）</w:t>
      </w:r>
      <w:r>
        <w:rPr>
          <w:rFonts w:hint="eastAsia" w:eastAsia="楷体"/>
          <w:b/>
          <w:sz w:val="32"/>
          <w:szCs w:val="32"/>
        </w:rPr>
        <w:t>基本支出情况</w:t>
      </w:r>
    </w:p>
    <w:p w14:paraId="6F17D552">
      <w:pPr>
        <w:pStyle w:val="11"/>
        <w:widowControl/>
        <w:ind w:firstLine="640"/>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工资福利支出</w:t>
      </w:r>
      <w:r>
        <w:rPr>
          <w:rFonts w:hint="eastAsia" w:eastAsia="仿宋" w:cs="Times New Roman"/>
          <w:color w:val="000000"/>
          <w:kern w:val="2"/>
          <w:sz w:val="32"/>
          <w:szCs w:val="32"/>
          <w:lang w:val="en-US" w:eastAsia="zh-CN" w:bidi="ar-SA"/>
        </w:rPr>
        <w:t>38498</w:t>
      </w:r>
      <w:r>
        <w:rPr>
          <w:rFonts w:hint="eastAsia" w:ascii="Times New Roman" w:hAnsi="Times New Roman" w:eastAsia="仿宋" w:cs="Times New Roman"/>
          <w:color w:val="000000"/>
          <w:kern w:val="2"/>
          <w:sz w:val="32"/>
          <w:szCs w:val="32"/>
          <w:lang w:val="en-US" w:eastAsia="zh-CN" w:bidi="ar-SA"/>
        </w:rPr>
        <w:t>万元，一般商品服务支出</w:t>
      </w:r>
      <w:r>
        <w:rPr>
          <w:rFonts w:hint="eastAsia" w:eastAsia="仿宋" w:cs="Times New Roman"/>
          <w:color w:val="000000"/>
          <w:kern w:val="2"/>
          <w:sz w:val="32"/>
          <w:szCs w:val="32"/>
          <w:lang w:val="en-US" w:eastAsia="zh-CN" w:bidi="ar-SA"/>
        </w:rPr>
        <w:t>8068.56</w:t>
      </w:r>
      <w:r>
        <w:rPr>
          <w:rFonts w:hint="eastAsia" w:ascii="Times New Roman" w:hAnsi="Times New Roman" w:eastAsia="仿宋" w:cs="Times New Roman"/>
          <w:color w:val="000000"/>
          <w:kern w:val="2"/>
          <w:sz w:val="32"/>
          <w:szCs w:val="32"/>
          <w:lang w:val="en-US" w:eastAsia="zh-CN" w:bidi="ar-SA"/>
        </w:rPr>
        <w:t>万元，对个人和家庭的补助</w:t>
      </w:r>
      <w:r>
        <w:rPr>
          <w:rFonts w:hint="eastAsia" w:eastAsia="仿宋" w:cs="Times New Roman"/>
          <w:color w:val="000000"/>
          <w:kern w:val="2"/>
          <w:sz w:val="32"/>
          <w:szCs w:val="32"/>
          <w:lang w:val="en-US" w:eastAsia="zh-CN" w:bidi="ar-SA"/>
        </w:rPr>
        <w:t>3709.75</w:t>
      </w:r>
      <w:r>
        <w:rPr>
          <w:rFonts w:hint="eastAsia" w:ascii="Times New Roman" w:hAnsi="Times New Roman" w:eastAsia="仿宋" w:cs="Times New Roman"/>
          <w:color w:val="000000"/>
          <w:kern w:val="2"/>
          <w:sz w:val="32"/>
          <w:szCs w:val="32"/>
          <w:lang w:val="en-US" w:eastAsia="zh-CN" w:bidi="ar-SA"/>
        </w:rPr>
        <w:t>万元。</w:t>
      </w:r>
    </w:p>
    <w:p w14:paraId="4FF54378">
      <w:pPr>
        <w:pStyle w:val="11"/>
        <w:widowControl/>
        <w:numPr>
          <w:ilvl w:val="0"/>
          <w:numId w:val="0"/>
        </w:numPr>
        <w:ind w:leftChars="200"/>
        <w:rPr>
          <w:rFonts w:hint="eastAsia" w:eastAsia="楷体"/>
          <w:b/>
          <w:sz w:val="32"/>
          <w:szCs w:val="32"/>
        </w:rPr>
      </w:pPr>
      <w:r>
        <w:rPr>
          <w:rFonts w:hint="eastAsia" w:eastAsia="楷体"/>
          <w:b/>
          <w:sz w:val="32"/>
          <w:szCs w:val="32"/>
          <w:lang w:eastAsia="zh-CN"/>
        </w:rPr>
        <w:t>（二）</w:t>
      </w:r>
      <w:r>
        <w:rPr>
          <w:rFonts w:hint="eastAsia" w:eastAsia="楷体"/>
          <w:b/>
          <w:sz w:val="32"/>
          <w:szCs w:val="32"/>
        </w:rPr>
        <w:t>项目支出情况</w:t>
      </w:r>
    </w:p>
    <w:p w14:paraId="752525B0">
      <w:pPr>
        <w:pStyle w:val="11"/>
        <w:widowControl/>
        <w:ind w:firstLine="640"/>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其中纳入财政</w:t>
      </w:r>
      <w:r>
        <w:rPr>
          <w:rFonts w:hint="eastAsia" w:eastAsia="仿宋" w:cs="Times New Roman"/>
          <w:color w:val="000000"/>
          <w:kern w:val="2"/>
          <w:sz w:val="32"/>
          <w:szCs w:val="32"/>
          <w:lang w:val="en-US" w:eastAsia="zh-CN" w:bidi="ar-SA"/>
        </w:rPr>
        <w:t>专项</w:t>
      </w:r>
      <w:r>
        <w:rPr>
          <w:rFonts w:hint="eastAsia" w:ascii="Times New Roman" w:hAnsi="Times New Roman" w:eastAsia="仿宋" w:cs="Times New Roman"/>
          <w:color w:val="000000"/>
          <w:kern w:val="2"/>
          <w:sz w:val="32"/>
          <w:szCs w:val="32"/>
          <w:lang w:val="en-US" w:eastAsia="zh-CN" w:bidi="ar-SA"/>
        </w:rPr>
        <w:t>预算的项目有</w:t>
      </w:r>
      <w:r>
        <w:rPr>
          <w:rFonts w:hint="eastAsia" w:eastAsia="仿宋" w:cs="Times New Roman"/>
          <w:color w:val="000000"/>
          <w:kern w:val="2"/>
          <w:sz w:val="32"/>
          <w:szCs w:val="32"/>
          <w:lang w:val="en-US" w:eastAsia="zh-CN" w:bidi="ar-SA"/>
        </w:rPr>
        <w:t>12</w:t>
      </w:r>
      <w:r>
        <w:rPr>
          <w:rFonts w:hint="eastAsia" w:ascii="Times New Roman" w:hAnsi="Times New Roman" w:eastAsia="仿宋" w:cs="Times New Roman"/>
          <w:color w:val="000000"/>
          <w:kern w:val="2"/>
          <w:sz w:val="32"/>
          <w:szCs w:val="32"/>
          <w:lang w:val="en-US" w:eastAsia="zh-CN" w:bidi="ar-SA"/>
        </w:rPr>
        <w:t>个，分别是禁毒专项550万元，公安强戒人员生活补助252.72万元，强戒人员教育矫治费、诊断评估费、传染病查治费31.2万元，强戒人员生理脱毒医疗费156万元，拘留所被监管人员生活补贴35万元，纪检派驻机构专项经费</w:t>
      </w:r>
      <w:r>
        <w:rPr>
          <w:rFonts w:hint="eastAsia" w:eastAsia="仿宋" w:cs="Times New Roman"/>
          <w:color w:val="000000"/>
          <w:kern w:val="2"/>
          <w:sz w:val="32"/>
          <w:szCs w:val="32"/>
          <w:lang w:val="en-US" w:eastAsia="zh-CN" w:bidi="ar-SA"/>
        </w:rPr>
        <w:t>18.54</w:t>
      </w:r>
      <w:r>
        <w:rPr>
          <w:rFonts w:hint="eastAsia" w:ascii="Times New Roman" w:hAnsi="Times New Roman" w:eastAsia="仿宋" w:cs="Times New Roman"/>
          <w:color w:val="000000"/>
          <w:kern w:val="2"/>
          <w:sz w:val="32"/>
          <w:szCs w:val="32"/>
          <w:lang w:val="en-US" w:eastAsia="zh-CN" w:bidi="ar-SA"/>
        </w:rPr>
        <w:t>万元，“</w:t>
      </w:r>
      <w:r>
        <w:rPr>
          <w:rFonts w:hint="eastAsia" w:eastAsia="仿宋" w:cs="Times New Roman"/>
          <w:color w:val="000000"/>
          <w:kern w:val="2"/>
          <w:sz w:val="32"/>
          <w:szCs w:val="32"/>
          <w:lang w:val="en-US" w:eastAsia="zh-CN" w:bidi="ar-SA"/>
        </w:rPr>
        <w:t>驻滇驻粤</w:t>
      </w:r>
      <w:r>
        <w:rPr>
          <w:rFonts w:hint="eastAsia" w:ascii="Times New Roman" w:hAnsi="Times New Roman" w:eastAsia="仿宋" w:cs="Times New Roman"/>
          <w:color w:val="000000"/>
          <w:kern w:val="2"/>
          <w:sz w:val="32"/>
          <w:szCs w:val="32"/>
          <w:lang w:val="en-US" w:eastAsia="zh-CN" w:bidi="ar-SA"/>
        </w:rPr>
        <w:t>两站工作经费”100万，辅警工作经费</w:t>
      </w:r>
      <w:r>
        <w:rPr>
          <w:rFonts w:hint="eastAsia" w:eastAsia="仿宋" w:cs="Times New Roman"/>
          <w:color w:val="000000"/>
          <w:kern w:val="2"/>
          <w:sz w:val="32"/>
          <w:szCs w:val="32"/>
          <w:lang w:val="en-US" w:eastAsia="zh-CN" w:bidi="ar-SA"/>
        </w:rPr>
        <w:t>9000</w:t>
      </w:r>
      <w:r>
        <w:rPr>
          <w:rFonts w:hint="eastAsia" w:ascii="Times New Roman" w:hAnsi="Times New Roman" w:eastAsia="仿宋" w:cs="Times New Roman"/>
          <w:color w:val="000000"/>
          <w:kern w:val="2"/>
          <w:sz w:val="32"/>
          <w:szCs w:val="32"/>
          <w:lang w:val="en-US" w:eastAsia="zh-CN" w:bidi="ar-SA"/>
        </w:rPr>
        <w:t>万元，</w:t>
      </w:r>
      <w:r>
        <w:rPr>
          <w:rFonts w:hint="eastAsia" w:eastAsia="仿宋" w:cs="Times New Roman"/>
          <w:color w:val="000000"/>
          <w:kern w:val="2"/>
          <w:sz w:val="32"/>
          <w:szCs w:val="32"/>
          <w:lang w:val="en-US" w:eastAsia="zh-CN" w:bidi="ar-SA"/>
        </w:rPr>
        <w:t>收治中心运行经费800万元，看守所给养费799.23万元，警察执勤津贴1945.10万元</w:t>
      </w:r>
      <w:r>
        <w:rPr>
          <w:rFonts w:hint="eastAsia" w:ascii="Times New Roman" w:hAnsi="Times New Roman" w:eastAsia="仿宋" w:cs="Times New Roman"/>
          <w:color w:val="000000"/>
          <w:kern w:val="2"/>
          <w:sz w:val="32"/>
          <w:szCs w:val="32"/>
          <w:lang w:val="en-US" w:eastAsia="zh-CN" w:bidi="ar-SA"/>
        </w:rPr>
        <w:t>，</w:t>
      </w:r>
      <w:r>
        <w:rPr>
          <w:rFonts w:hint="eastAsia" w:eastAsia="仿宋" w:cs="Times New Roman"/>
          <w:color w:val="000000"/>
          <w:kern w:val="2"/>
          <w:sz w:val="32"/>
          <w:szCs w:val="32"/>
          <w:lang w:val="en-US" w:eastAsia="zh-CN" w:bidi="ar-SA"/>
        </w:rPr>
        <w:t>警察加班补助1846.20万元，在</w:t>
      </w:r>
      <w:r>
        <w:rPr>
          <w:rFonts w:hint="eastAsia" w:ascii="Times New Roman" w:hAnsi="Times New Roman" w:eastAsia="仿宋" w:cs="Times New Roman"/>
          <w:color w:val="000000"/>
          <w:kern w:val="2"/>
          <w:sz w:val="32"/>
          <w:szCs w:val="32"/>
          <w:lang w:val="en-US" w:eastAsia="zh-CN" w:bidi="ar-SA"/>
        </w:rPr>
        <w:t>202</w:t>
      </w:r>
      <w:r>
        <w:rPr>
          <w:rFonts w:hint="default" w:eastAsia="仿宋" w:cs="Times New Roman"/>
          <w:color w:val="000000"/>
          <w:kern w:val="2"/>
          <w:sz w:val="32"/>
          <w:szCs w:val="32"/>
          <w:lang w:val="en" w:eastAsia="zh-CN" w:bidi="ar-SA"/>
        </w:rPr>
        <w:t>4</w:t>
      </w:r>
      <w:r>
        <w:rPr>
          <w:rFonts w:hint="eastAsia" w:ascii="Times New Roman" w:hAnsi="Times New Roman" w:eastAsia="仿宋" w:cs="Times New Roman"/>
          <w:color w:val="000000"/>
          <w:kern w:val="2"/>
          <w:sz w:val="32"/>
          <w:szCs w:val="32"/>
          <w:lang w:val="en-US" w:eastAsia="zh-CN" w:bidi="ar-SA"/>
        </w:rPr>
        <w:t>会计年度</w:t>
      </w:r>
      <w:r>
        <w:rPr>
          <w:rFonts w:hint="eastAsia" w:eastAsia="仿宋" w:cs="Times New Roman"/>
          <w:color w:val="000000"/>
          <w:kern w:val="2"/>
          <w:sz w:val="32"/>
          <w:szCs w:val="32"/>
          <w:lang w:val="en-US" w:eastAsia="zh-CN" w:bidi="ar-SA"/>
        </w:rPr>
        <w:t>按照专项经费支出要求除强戒人员相关经费外（由于社会面毒情持续好转，收治戒毒人员减少，导致经费稍有节余）全部</w:t>
      </w:r>
      <w:r>
        <w:rPr>
          <w:rFonts w:hint="eastAsia" w:ascii="Times New Roman" w:hAnsi="Times New Roman" w:eastAsia="仿宋" w:cs="Times New Roman"/>
          <w:color w:val="000000"/>
          <w:kern w:val="2"/>
          <w:sz w:val="32"/>
          <w:szCs w:val="32"/>
          <w:lang w:val="en-US" w:eastAsia="zh-CN" w:bidi="ar-SA"/>
        </w:rPr>
        <w:t>执行完毕。</w:t>
      </w:r>
    </w:p>
    <w:p w14:paraId="2B1AD7CA">
      <w:pPr>
        <w:pStyle w:val="11"/>
        <w:widowControl/>
        <w:numPr>
          <w:ilvl w:val="0"/>
          <w:numId w:val="1"/>
        </w:numPr>
        <w:ind w:left="0" w:leftChars="0" w:firstLine="640" w:firstLineChars="200"/>
        <w:rPr>
          <w:rFonts w:hint="eastAsia" w:eastAsia="黑体"/>
          <w:sz w:val="32"/>
          <w:szCs w:val="32"/>
        </w:rPr>
      </w:pPr>
      <w:r>
        <w:rPr>
          <w:rFonts w:hint="eastAsia" w:eastAsia="黑体"/>
          <w:sz w:val="32"/>
          <w:szCs w:val="32"/>
        </w:rPr>
        <w:t>政府性基金预算支出情况</w:t>
      </w:r>
    </w:p>
    <w:p w14:paraId="0132FDFF">
      <w:pPr>
        <w:pStyle w:val="11"/>
        <w:widowControl/>
        <w:numPr>
          <w:ilvl w:val="0"/>
          <w:numId w:val="0"/>
        </w:numPr>
        <w:rPr>
          <w:rFonts w:hint="default" w:eastAsia="黑体"/>
          <w:sz w:val="32"/>
          <w:szCs w:val="32"/>
          <w:lang w:val="en-US" w:eastAsia="zh-CN"/>
        </w:rPr>
      </w:pPr>
      <w:r>
        <w:rPr>
          <w:rFonts w:hint="eastAsia" w:eastAsia="黑体"/>
          <w:sz w:val="32"/>
          <w:szCs w:val="32"/>
          <w:lang w:val="en-US" w:eastAsia="zh-CN"/>
        </w:rPr>
        <w:t xml:space="preserve">    无</w:t>
      </w:r>
    </w:p>
    <w:p w14:paraId="16770151">
      <w:pPr>
        <w:pStyle w:val="11"/>
        <w:widowControl/>
        <w:ind w:firstLine="640"/>
        <w:rPr>
          <w:rFonts w:eastAsia="黑体"/>
          <w:sz w:val="32"/>
          <w:szCs w:val="32"/>
        </w:rPr>
      </w:pPr>
      <w:r>
        <w:rPr>
          <w:rFonts w:hint="eastAsia" w:eastAsia="黑体"/>
          <w:sz w:val="32"/>
          <w:szCs w:val="32"/>
        </w:rPr>
        <w:t>四、国有资本经营预算支出情况</w:t>
      </w:r>
    </w:p>
    <w:p w14:paraId="6BB56618">
      <w:pPr>
        <w:pStyle w:val="11"/>
        <w:widowControl/>
        <w:ind w:firstLine="640"/>
        <w:rPr>
          <w:rFonts w:hint="eastAsia" w:eastAsia="黑体"/>
          <w:sz w:val="32"/>
          <w:szCs w:val="32"/>
          <w:lang w:eastAsia="zh-CN"/>
        </w:rPr>
      </w:pPr>
      <w:r>
        <w:rPr>
          <w:rFonts w:hint="eastAsia" w:eastAsia="黑体"/>
          <w:sz w:val="32"/>
          <w:szCs w:val="32"/>
          <w:lang w:eastAsia="zh-CN"/>
        </w:rPr>
        <w:t>无</w:t>
      </w:r>
    </w:p>
    <w:p w14:paraId="1A9FA07D">
      <w:pPr>
        <w:pStyle w:val="11"/>
        <w:widowControl/>
        <w:ind w:firstLine="640"/>
        <w:rPr>
          <w:rFonts w:eastAsia="黑体"/>
          <w:sz w:val="32"/>
          <w:szCs w:val="32"/>
        </w:rPr>
      </w:pPr>
      <w:r>
        <w:rPr>
          <w:rFonts w:hint="eastAsia" w:eastAsia="黑体"/>
          <w:sz w:val="32"/>
          <w:szCs w:val="32"/>
        </w:rPr>
        <w:t>五、社会保险基金预算支出情况</w:t>
      </w:r>
    </w:p>
    <w:p w14:paraId="6229C14D">
      <w:pPr>
        <w:widowControl/>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无</w:t>
      </w:r>
    </w:p>
    <w:p w14:paraId="4146757B">
      <w:pPr>
        <w:widowControl/>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rPr>
        <w:t>六、部门整体支出绩效情况</w:t>
      </w:r>
    </w:p>
    <w:p w14:paraId="76BCA83E">
      <w:pPr>
        <w:widowControl/>
        <w:ind w:firstLine="640" w:firstLineChars="200"/>
        <w:rPr>
          <w:rFonts w:hint="eastAsia" w:ascii="Times New Roman" w:hAnsi="Times New Roman" w:eastAsia="仿宋"/>
          <w:color w:val="000000"/>
          <w:sz w:val="32"/>
          <w:szCs w:val="32"/>
          <w:lang w:val="en-US" w:eastAsia="zh-CN"/>
        </w:rPr>
      </w:pPr>
      <w:r>
        <w:rPr>
          <w:rFonts w:hint="eastAsia" w:ascii="Times New Roman" w:hAnsi="Times New Roman" w:eastAsia="仿宋"/>
          <w:b w:val="0"/>
          <w:bCs w:val="0"/>
          <w:color w:val="000000"/>
          <w:sz w:val="32"/>
          <w:szCs w:val="32"/>
          <w:lang w:eastAsia="zh-CN"/>
        </w:rPr>
        <w:t>总体而言，我局</w:t>
      </w:r>
      <w:r>
        <w:rPr>
          <w:rFonts w:hint="eastAsia" w:ascii="Times New Roman" w:hAnsi="Times New Roman" w:eastAsia="仿宋"/>
          <w:b w:val="0"/>
          <w:bCs w:val="0"/>
          <w:color w:val="000000"/>
          <w:sz w:val="32"/>
          <w:szCs w:val="32"/>
          <w:lang w:val="en-US" w:eastAsia="zh-CN"/>
        </w:rPr>
        <w:t>202</w:t>
      </w:r>
      <w:r>
        <w:rPr>
          <w:rFonts w:hint="default" w:ascii="Times New Roman" w:hAnsi="Times New Roman" w:eastAsia="仿宋"/>
          <w:b w:val="0"/>
          <w:bCs w:val="0"/>
          <w:color w:val="000000"/>
          <w:sz w:val="32"/>
          <w:szCs w:val="32"/>
          <w:lang w:val="en" w:eastAsia="zh-CN"/>
        </w:rPr>
        <w:t>4</w:t>
      </w:r>
      <w:r>
        <w:rPr>
          <w:rFonts w:hint="eastAsia" w:ascii="Times New Roman" w:hAnsi="Times New Roman" w:eastAsia="仿宋"/>
          <w:b w:val="0"/>
          <w:bCs w:val="0"/>
          <w:color w:val="000000"/>
          <w:sz w:val="32"/>
          <w:szCs w:val="32"/>
          <w:lang w:val="en-US" w:eastAsia="zh-CN"/>
        </w:rPr>
        <w:t>年整体支出目标基本实现，资金使用绩效良好。</w:t>
      </w:r>
      <w:r>
        <w:rPr>
          <w:rFonts w:hint="eastAsia" w:ascii="Times New Roman" w:hAnsi="Times New Roman" w:eastAsia="仿宋"/>
          <w:color w:val="000000"/>
          <w:sz w:val="32"/>
          <w:szCs w:val="32"/>
          <w:lang w:val="en-US" w:eastAsia="zh-CN"/>
        </w:rPr>
        <w:t>具体从以下两个方面分析如下：</w:t>
      </w:r>
    </w:p>
    <w:p w14:paraId="2D1D720B">
      <w:pPr>
        <w:widowControl/>
        <w:ind w:firstLine="640" w:firstLineChars="200"/>
        <w:rPr>
          <w:rFonts w:hint="eastAsia" w:ascii="Times New Roman" w:hAnsi="Times New Roman" w:eastAsia="仿宋"/>
          <w:color w:val="000000"/>
          <w:sz w:val="32"/>
          <w:szCs w:val="32"/>
          <w:lang w:val="en-US" w:eastAsia="zh-CN"/>
        </w:rPr>
      </w:pPr>
      <w:r>
        <w:rPr>
          <w:rFonts w:hint="eastAsia" w:ascii="Times New Roman" w:hAnsi="Times New Roman" w:eastAsia="仿宋"/>
          <w:color w:val="000000"/>
          <w:sz w:val="32"/>
          <w:szCs w:val="32"/>
          <w:lang w:val="en-US" w:eastAsia="zh-CN"/>
        </w:rPr>
        <w:t>（一）预算编制执行及内部控制方面</w:t>
      </w:r>
    </w:p>
    <w:p w14:paraId="120CDF07">
      <w:pPr>
        <w:widowControl/>
        <w:ind w:firstLine="640" w:firstLineChars="200"/>
        <w:rPr>
          <w:rFonts w:hint="eastAsia" w:ascii="Times New Roman" w:hAnsi="Times New Roman" w:eastAsia="仿宋"/>
          <w:color w:val="000000"/>
          <w:sz w:val="32"/>
          <w:szCs w:val="32"/>
          <w:lang w:val="en-US" w:eastAsia="zh-CN"/>
        </w:rPr>
      </w:pPr>
      <w:r>
        <w:rPr>
          <w:rFonts w:hint="eastAsia" w:ascii="Times New Roman" w:hAnsi="Times New Roman" w:eastAsia="仿宋"/>
          <w:color w:val="000000"/>
          <w:sz w:val="32"/>
          <w:szCs w:val="32"/>
          <w:lang w:val="en-US" w:eastAsia="zh-CN"/>
        </w:rPr>
        <w:t>一是预算编制符合要求。我局严格按照市财政预算编制的原则和要求，结合202</w:t>
      </w:r>
      <w:r>
        <w:rPr>
          <w:rFonts w:hint="default" w:ascii="Times New Roman" w:hAnsi="Times New Roman" w:eastAsia="仿宋"/>
          <w:color w:val="000000"/>
          <w:sz w:val="32"/>
          <w:szCs w:val="32"/>
          <w:lang w:val="en" w:eastAsia="zh-CN"/>
        </w:rPr>
        <w:t>4</w:t>
      </w:r>
      <w:r>
        <w:rPr>
          <w:rFonts w:hint="eastAsia" w:ascii="Times New Roman" w:hAnsi="Times New Roman" w:eastAsia="仿宋"/>
          <w:color w:val="000000"/>
          <w:sz w:val="32"/>
          <w:szCs w:val="32"/>
          <w:lang w:val="en-US" w:eastAsia="zh-CN"/>
        </w:rPr>
        <w:t>年度部门履职需要和年度工作重点，在不同项目、不同用途之间合理分配预算资金。</w:t>
      </w:r>
    </w:p>
    <w:p w14:paraId="7CCF4A46">
      <w:pPr>
        <w:widowControl/>
        <w:ind w:firstLine="640" w:firstLineChars="200"/>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二是预算执行规范。我局资金支出比较规范，资金下达及时，财政资金使用效率有所提升，从严控制“三公经费”支出，国库集中支付结转结余存量资金效率性有所提高，符合部门预算经济性要求，预决算信息公开等方面表现良好。</w:t>
      </w:r>
    </w:p>
    <w:p w14:paraId="608F4E15">
      <w:pPr>
        <w:widowControl/>
        <w:ind w:firstLine="640" w:firstLineChars="200"/>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三是资产管理规范有序。我局已经聘请专业的会计师事务所对全局的固定资产进行全面盘点和清查，建立了较为完备资产管理的制度，登记管理工作严格有序。</w:t>
      </w:r>
    </w:p>
    <w:p w14:paraId="6375A121">
      <w:pPr>
        <w:autoSpaceDE/>
        <w:autoSpaceDN/>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四是内部管理制度基本健全。我局内部管理制度与工作职能衔接程度较好，相关制度规范随工作开展情况不断完善。制定了《市公安局财务管理办法》、《市公安局政府采购管理实施办法》、《市公安局车辆与驾驶员管理办法》、《市公安局公务活动用餐管理办法》等相关制度，出台了《衡阳市公安局树立过“紧日子”思想的十条举措》等一系列制度，进一步加强对内部规范化管理，提升内部管理效率。</w:t>
      </w:r>
    </w:p>
    <w:p w14:paraId="44336A1E">
      <w:pPr>
        <w:autoSpaceDE/>
        <w:autoSpaceDN/>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（二）产出与效果方面</w:t>
      </w:r>
    </w:p>
    <w:p w14:paraId="1E1AEA5E">
      <w:pPr>
        <w:autoSpaceDE/>
        <w:autoSpaceDN/>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一是强调经济性。我局“三公”经费控制率小于预算安排数，绩效表现优秀，公用经费控制率大于预算安排数。202</w:t>
      </w:r>
      <w:r>
        <w:rPr>
          <w:rFonts w:hint="default" w:ascii="Times New Roman" w:hAnsi="Times New Roman" w:eastAsia="仿宋" w:cs="Times New Roman"/>
          <w:color w:val="000000"/>
          <w:kern w:val="2"/>
          <w:sz w:val="32"/>
          <w:szCs w:val="32"/>
          <w:lang w:val="en" w:eastAsia="zh-CN" w:bidi="ar-SA"/>
        </w:rPr>
        <w:t>4</w:t>
      </w:r>
      <w:r>
        <w:rPr>
          <w:rFonts w:hint="eastAsia" w:ascii="Times New Roman" w:hAnsi="Times New Roman" w:eastAsia="仿宋" w:cs="Times New Roman"/>
          <w:color w:val="000000"/>
          <w:kern w:val="2"/>
          <w:sz w:val="32"/>
          <w:szCs w:val="32"/>
          <w:lang w:val="en-US" w:eastAsia="zh-CN" w:bidi="ar-SA"/>
        </w:rPr>
        <w:t>年公安局“三公”经费支出</w:t>
      </w:r>
      <w:r>
        <w:rPr>
          <w:rFonts w:hint="default" w:ascii="Times New Roman" w:hAnsi="Times New Roman" w:eastAsia="仿宋" w:cs="Times New Roman"/>
          <w:color w:val="000000"/>
          <w:kern w:val="2"/>
          <w:sz w:val="32"/>
          <w:szCs w:val="32"/>
          <w:lang w:val="en" w:eastAsia="zh-CN" w:bidi="ar-SA"/>
        </w:rPr>
        <w:t>416.99</w:t>
      </w:r>
      <w:r>
        <w:rPr>
          <w:rFonts w:hint="eastAsia" w:ascii="Times New Roman" w:hAnsi="Times New Roman" w:eastAsia="仿宋" w:cs="Times New Roman"/>
          <w:color w:val="000000"/>
          <w:kern w:val="2"/>
          <w:sz w:val="32"/>
          <w:szCs w:val="32"/>
          <w:lang w:val="en-US" w:eastAsia="zh-CN" w:bidi="ar-SA"/>
        </w:rPr>
        <w:t>万元（含分局），较批复指标节约224.01万元，节约比率为34%，完成预算66%。</w:t>
      </w:r>
    </w:p>
    <w:p w14:paraId="7D8D0570">
      <w:pPr>
        <w:spacing w:line="580" w:lineRule="exact"/>
        <w:ind w:firstLine="640" w:firstLineChars="200"/>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二是强调效果性。202</w:t>
      </w:r>
      <w:r>
        <w:rPr>
          <w:rFonts w:hint="default" w:ascii="Times New Roman" w:hAnsi="Times New Roman" w:eastAsia="仿宋" w:cs="Times New Roman"/>
          <w:color w:val="000000"/>
          <w:kern w:val="2"/>
          <w:sz w:val="32"/>
          <w:szCs w:val="32"/>
          <w:lang w:val="en" w:eastAsia="zh-CN" w:bidi="ar-SA"/>
        </w:rPr>
        <w:t>4</w:t>
      </w:r>
      <w:r>
        <w:rPr>
          <w:rFonts w:hint="eastAsia" w:ascii="Times New Roman" w:hAnsi="Times New Roman" w:eastAsia="仿宋" w:cs="Times New Roman"/>
          <w:color w:val="000000"/>
          <w:kern w:val="2"/>
          <w:sz w:val="32"/>
          <w:szCs w:val="32"/>
          <w:lang w:val="en-US" w:eastAsia="zh-CN" w:bidi="ar-SA"/>
        </w:rPr>
        <w:t>年度市公安局工作完成情况较好，基本完成年度工作任务，达成年度履职目标，取得了较为明显的成效。</w:t>
      </w:r>
      <w:r>
        <w:rPr>
          <w:rFonts w:hint="eastAsia" w:ascii="仿宋_GB2312" w:hAnsi="仿宋_GB2312" w:eastAsia="仿宋_GB2312" w:cs="仿宋_GB2312"/>
          <w:sz w:val="30"/>
          <w:szCs w:val="30"/>
        </w:rPr>
        <w:t>目前来看，我市基本完成年初设定目标，</w:t>
      </w:r>
      <w:r>
        <w:rPr>
          <w:rFonts w:hint="eastAsia" w:ascii="仿宋_GB2312" w:hAnsi="仿宋_GB2312" w:eastAsia="仿宋_GB2312" w:cs="仿宋_GB2312"/>
          <w:sz w:val="30"/>
          <w:szCs w:val="30"/>
          <w:lang w:val="en"/>
        </w:rPr>
        <w:t>依法根治了市城区“平安夜”乱象，</w:t>
      </w:r>
      <w:r>
        <w:rPr>
          <w:rFonts w:hint="eastAsia" w:ascii="仿宋_GB2312" w:hAnsi="仿宋_GB2312" w:eastAsia="仿宋_GB2312" w:cs="仿宋_GB2312"/>
          <w:sz w:val="30"/>
          <w:szCs w:val="30"/>
          <w:lang w:val="en" w:eastAsia="zh-CN"/>
        </w:rPr>
        <w:t>创新完善了“南岳安保”模式，成功处置了</w:t>
      </w:r>
      <w:r>
        <w:rPr>
          <w:rFonts w:hint="eastAsia" w:ascii="仿宋_GB2312" w:hAnsi="仿宋_GB2312" w:eastAsia="仿宋_GB2312" w:cs="仿宋_GB2312"/>
          <w:sz w:val="30"/>
          <w:szCs w:val="30"/>
          <w:lang w:val="en-US" w:eastAsia="zh-CN"/>
        </w:rPr>
        <w:t>一批涉众型案事件</w:t>
      </w:r>
      <w:r>
        <w:rPr>
          <w:rFonts w:hint="eastAsia" w:ascii="仿宋_GB2312" w:hAnsi="仿宋_GB2312" w:eastAsia="仿宋_GB2312" w:cs="仿宋_GB2312"/>
          <w:sz w:val="30"/>
          <w:szCs w:val="30"/>
          <w:lang w:val="en"/>
        </w:rPr>
        <w:t>。我们针对衡阳治安特点规律，推行主动警务，牢固树立“治安先治毒，治乱必惩恶”和“打防并重”理念，统筹推进扫黑除恶禁毒反诈打跨治乱，</w:t>
      </w:r>
      <w:r>
        <w:rPr>
          <w:rFonts w:hint="eastAsia" w:ascii="仿宋_GB2312" w:hAnsi="仿宋_GB2312" w:eastAsia="仿宋_GB2312" w:cs="仿宋_GB2312"/>
          <w:sz w:val="30"/>
          <w:szCs w:val="30"/>
          <w:lang w:val="en" w:eastAsia="zh-CN"/>
        </w:rPr>
        <w:t>持续开展专项集中打击整治行动和“平安号”集中清查行动，</w:t>
      </w:r>
      <w:r>
        <w:rPr>
          <w:rFonts w:hint="eastAsia" w:ascii="仿宋_GB2312" w:hAnsi="仿宋_GB2312" w:eastAsia="仿宋_GB2312" w:cs="仿宋_GB2312"/>
          <w:sz w:val="30"/>
          <w:szCs w:val="30"/>
          <w:lang w:val="en"/>
        </w:rPr>
        <w:t>创新“一体两翼双轮”县域城乡警务模式和城乡防控“两大版块”“十大模式”“三区警务”“衡阳快警”空地网一体化巡防、网格警务、“衡阳义警”</w:t>
      </w:r>
      <w:r>
        <w:rPr>
          <w:rFonts w:hint="eastAsia" w:ascii="仿宋_GB2312" w:hAnsi="仿宋_GB2312" w:eastAsia="仿宋_GB2312" w:cs="仿宋_GB2312"/>
          <w:sz w:val="30"/>
          <w:szCs w:val="30"/>
          <w:lang w:val="en" w:eastAsia="zh-CN"/>
        </w:rPr>
        <w:t>、</w:t>
      </w:r>
      <w:r>
        <w:rPr>
          <w:rFonts w:hint="eastAsia" w:ascii="仿宋_GB2312" w:hAnsi="仿宋_GB2312" w:eastAsia="仿宋_GB2312" w:cs="仿宋_GB2312"/>
          <w:sz w:val="30"/>
          <w:szCs w:val="30"/>
          <w:lang w:val="en"/>
        </w:rPr>
        <w:t>“平安号”行动等系列风险排查管控、治安巡防打控模式机制，</w:t>
      </w:r>
      <w:r>
        <w:rPr>
          <w:rFonts w:hint="eastAsia" w:ascii="仿宋_GB2312" w:hAnsi="仿宋_GB2312" w:eastAsia="仿宋_GB2312" w:cs="仿宋_GB2312"/>
          <w:sz w:val="30"/>
          <w:szCs w:val="30"/>
          <w:lang w:val="en" w:eastAsia="zh-CN"/>
        </w:rPr>
        <w:t>一系列带有“标签性”的突出治安问题得到有效</w:t>
      </w:r>
      <w:r>
        <w:rPr>
          <w:rFonts w:hint="eastAsia" w:ascii="仿宋_GB2312" w:hAnsi="仿宋_GB2312" w:eastAsia="仿宋_GB2312" w:cs="仿宋_GB2312"/>
          <w:sz w:val="30"/>
          <w:szCs w:val="30"/>
          <w:lang w:val="en-US" w:eastAsia="zh-CN"/>
        </w:rPr>
        <w:t>整治</w:t>
      </w:r>
      <w:r>
        <w:rPr>
          <w:rFonts w:hint="eastAsia" w:ascii="仿宋_GB2312" w:hAnsi="仿宋_GB2312" w:eastAsia="仿宋_GB2312" w:cs="仿宋_GB2312"/>
          <w:sz w:val="30"/>
          <w:szCs w:val="30"/>
          <w:lang w:val="en" w:eastAsia="zh-CN"/>
        </w:rPr>
        <w:t>，</w:t>
      </w:r>
      <w:r>
        <w:rPr>
          <w:rFonts w:hint="eastAsia" w:ascii="仿宋_GB2312" w:hAnsi="仿宋_GB2312" w:eastAsia="仿宋_GB2312" w:cs="仿宋_GB2312"/>
          <w:sz w:val="30"/>
          <w:szCs w:val="30"/>
          <w:lang w:val="en"/>
        </w:rPr>
        <w:t>社会</w:t>
      </w:r>
      <w:r>
        <w:rPr>
          <w:rFonts w:hint="eastAsia" w:ascii="仿宋_GB2312" w:hAnsi="仿宋_GB2312" w:eastAsia="仿宋_GB2312" w:cs="仿宋_GB2312"/>
          <w:sz w:val="30"/>
          <w:szCs w:val="30"/>
          <w:lang w:val="en" w:eastAsia="zh-CN"/>
        </w:rPr>
        <w:t>治安状况</w:t>
      </w:r>
      <w:r>
        <w:rPr>
          <w:rFonts w:hint="eastAsia" w:ascii="仿宋_GB2312" w:hAnsi="仿宋_GB2312" w:eastAsia="仿宋_GB2312" w:cs="仿宋_GB2312"/>
          <w:sz w:val="30"/>
          <w:szCs w:val="30"/>
          <w:lang w:val="en-US" w:eastAsia="zh-CN"/>
        </w:rPr>
        <w:t>实现根本好转</w:t>
      </w:r>
      <w:r>
        <w:rPr>
          <w:rFonts w:hint="eastAsia" w:ascii="仿宋_GB2312" w:hAnsi="仿宋_GB2312" w:eastAsia="仿宋_GB2312" w:cs="仿宋_GB2312"/>
          <w:sz w:val="30"/>
          <w:szCs w:val="30"/>
          <w:lang w:val="en"/>
        </w:rPr>
        <w:t>。</w:t>
      </w:r>
      <w:r>
        <w:rPr>
          <w:rFonts w:hint="default" w:ascii="仿宋_GB2312" w:hAnsi="仿宋_GB2312" w:eastAsia="仿宋_GB2312" w:cs="仿宋_GB2312"/>
          <w:sz w:val="30"/>
          <w:szCs w:val="30"/>
          <w:lang w:val="en"/>
        </w:rPr>
        <w:t xml:space="preserve"> </w:t>
      </w:r>
    </w:p>
    <w:p w14:paraId="759E32B0">
      <w:pPr>
        <w:pStyle w:val="11"/>
        <w:widowControl/>
        <w:ind w:left="0" w:leftChars="0" w:firstLine="640" w:firstLineChars="200"/>
        <w:rPr>
          <w:rFonts w:eastAsia="黑体"/>
          <w:sz w:val="32"/>
          <w:szCs w:val="32"/>
        </w:rPr>
      </w:pPr>
      <w:r>
        <w:rPr>
          <w:rFonts w:hint="eastAsia" w:eastAsia="黑体"/>
          <w:sz w:val="32"/>
          <w:szCs w:val="32"/>
        </w:rPr>
        <w:t>七、存在的问题及原因分析</w:t>
      </w:r>
    </w:p>
    <w:p w14:paraId="6FF68D46">
      <w:pPr>
        <w:autoSpaceDE/>
        <w:autoSpaceDN/>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202</w:t>
      </w:r>
      <w:r>
        <w:rPr>
          <w:rFonts w:hint="default" w:ascii="Times New Roman" w:hAnsi="Times New Roman" w:eastAsia="仿宋" w:cs="Times New Roman"/>
          <w:color w:val="000000"/>
          <w:kern w:val="2"/>
          <w:sz w:val="32"/>
          <w:szCs w:val="32"/>
          <w:lang w:val="en" w:eastAsia="zh-CN" w:bidi="ar-SA"/>
        </w:rPr>
        <w:t>4</w:t>
      </w:r>
      <w:r>
        <w:rPr>
          <w:rFonts w:hint="eastAsia" w:ascii="Times New Roman" w:hAnsi="Times New Roman" w:eastAsia="仿宋" w:cs="Times New Roman"/>
          <w:color w:val="000000"/>
          <w:kern w:val="2"/>
          <w:sz w:val="32"/>
          <w:szCs w:val="32"/>
          <w:lang w:val="en-US" w:eastAsia="zh-CN" w:bidi="ar-SA"/>
        </w:rPr>
        <w:t>年度市公安局部门整体支出带来了较为明显的经济效益和社会效益，财政资金实际支出总体绩效情况良好。但是在预算编制、项目监督、财务管理、绩效目标设置等方面也存在一定不足，影响了部门整体资金使用效益。具体表现如下：</w:t>
      </w:r>
    </w:p>
    <w:p w14:paraId="4F25B4CC">
      <w:pPr>
        <w:numPr>
          <w:ilvl w:val="0"/>
          <w:numId w:val="0"/>
        </w:numPr>
        <w:autoSpaceDE/>
        <w:autoSpaceDN/>
        <w:adjustRightInd w:val="0"/>
        <w:snapToGrid w:val="0"/>
        <w:spacing w:line="360" w:lineRule="auto"/>
        <w:ind w:firstLine="643" w:firstLineChars="200"/>
        <w:jc w:val="both"/>
        <w:rPr>
          <w:rFonts w:hint="eastAsia" w:ascii="楷体" w:eastAsia="楷体"/>
          <w:b/>
          <w:bCs/>
          <w:color w:val="000000"/>
          <w:sz w:val="32"/>
          <w:szCs w:val="32"/>
          <w:lang w:val="en-US"/>
        </w:rPr>
      </w:pPr>
      <w:r>
        <w:rPr>
          <w:rFonts w:hint="default" w:ascii="楷体" w:eastAsia="楷体"/>
          <w:b/>
          <w:bCs/>
          <w:color w:val="000000"/>
          <w:sz w:val="32"/>
          <w:szCs w:val="32"/>
          <w:lang w:val="en"/>
        </w:rPr>
        <w:t>(</w:t>
      </w:r>
      <w:r>
        <w:rPr>
          <w:rFonts w:hint="eastAsia" w:ascii="楷体" w:eastAsia="楷体"/>
          <w:b/>
          <w:bCs/>
          <w:color w:val="000000"/>
          <w:sz w:val="32"/>
          <w:szCs w:val="32"/>
          <w:lang w:val="en" w:eastAsia="zh-CN"/>
        </w:rPr>
        <w:t>一</w:t>
      </w:r>
      <w:r>
        <w:rPr>
          <w:rFonts w:hint="eastAsia" w:ascii="楷体" w:eastAsia="楷体"/>
          <w:b/>
          <w:bCs/>
          <w:color w:val="000000"/>
          <w:sz w:val="32"/>
          <w:szCs w:val="32"/>
          <w:lang w:val="en-US" w:eastAsia="zh-CN"/>
        </w:rPr>
        <w:t>)</w:t>
      </w:r>
      <w:r>
        <w:rPr>
          <w:rFonts w:hint="eastAsia" w:ascii="楷体" w:eastAsia="楷体"/>
          <w:b/>
          <w:bCs/>
          <w:color w:val="000000"/>
          <w:sz w:val="32"/>
          <w:szCs w:val="32"/>
          <w:lang w:val="en-US"/>
        </w:rPr>
        <w:t xml:space="preserve">预算编制准确性不足。 </w:t>
      </w:r>
    </w:p>
    <w:p w14:paraId="2EA1526C">
      <w:pPr>
        <w:numPr>
          <w:ilvl w:val="0"/>
          <w:numId w:val="0"/>
        </w:numPr>
        <w:autoSpaceDE/>
        <w:autoSpaceDN/>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部分项目预算编制准确性有待提高，主要体现为年初预算数与实际支出数有差异。比如在编制强戒人员相关费用时</w:t>
      </w:r>
      <w:r>
        <w:rPr>
          <w:rFonts w:hint="eastAsia" w:eastAsia="仿宋" w:cs="Times New Roman"/>
          <w:color w:val="000000"/>
          <w:kern w:val="2"/>
          <w:sz w:val="32"/>
          <w:szCs w:val="32"/>
          <w:lang w:val="en-US" w:eastAsia="zh-CN" w:bidi="ar-SA"/>
        </w:rPr>
        <w:t>没有充分考虑社会面毒情持续好转的因素，导致相关经费指标稍有节余，</w:t>
      </w:r>
      <w:r>
        <w:rPr>
          <w:rFonts w:hint="eastAsia" w:ascii="Times New Roman" w:hAnsi="Times New Roman" w:eastAsia="仿宋" w:cs="Times New Roman"/>
          <w:color w:val="000000"/>
          <w:kern w:val="2"/>
          <w:sz w:val="32"/>
          <w:szCs w:val="32"/>
          <w:lang w:val="en-US" w:eastAsia="zh-CN" w:bidi="ar-SA"/>
        </w:rPr>
        <w:t xml:space="preserve">预算编制准确性有待进一步提高。 </w:t>
      </w:r>
    </w:p>
    <w:p w14:paraId="75960F0B">
      <w:pPr>
        <w:widowControl/>
        <w:numPr>
          <w:ilvl w:val="0"/>
          <w:numId w:val="2"/>
        </w:numPr>
        <w:adjustRightInd w:val="0"/>
        <w:snapToGrid w:val="0"/>
        <w:spacing w:line="360" w:lineRule="auto"/>
        <w:ind w:firstLine="643" w:firstLineChars="200"/>
        <w:jc w:val="both"/>
        <w:rPr>
          <w:rFonts w:hint="eastAsia" w:ascii="楷体" w:eastAsia="楷体"/>
          <w:b/>
          <w:bCs/>
          <w:color w:val="000000"/>
          <w:sz w:val="32"/>
          <w:szCs w:val="32"/>
          <w:lang w:val="en-US"/>
        </w:rPr>
      </w:pPr>
      <w:r>
        <w:rPr>
          <w:rFonts w:hint="eastAsia" w:ascii="楷体" w:eastAsia="楷体"/>
          <w:b/>
          <w:bCs/>
          <w:color w:val="000000"/>
          <w:sz w:val="32"/>
          <w:szCs w:val="32"/>
          <w:lang w:val="en-US"/>
        </w:rPr>
        <w:t>部分专项资金的延伸性监管不够到位，存在重分配、轻监管的现象。</w:t>
      </w:r>
    </w:p>
    <w:p w14:paraId="5ACAC548">
      <w:pPr>
        <w:widowControl/>
        <w:numPr>
          <w:ilvl w:val="0"/>
          <w:numId w:val="0"/>
        </w:numPr>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部门整体支出项目中大部分是包括有转移支付类型的经常性专项，如强戒人员生理脱毒医疗费、强戒人员生活补贴等。对于这类专项资金，市局主要负责专项资金年度总体计划安排，组织项目申报，确定专项资金分配方案等工作，局属单位具体使用，专项资金的使用绩效开展监督、检查与评价，管理过程中一定程度上存在重分配轻监管的现象。</w:t>
      </w:r>
    </w:p>
    <w:p w14:paraId="09F1FED5">
      <w:pPr>
        <w:autoSpaceDE/>
        <w:autoSpaceDN/>
        <w:adjustRightInd w:val="0"/>
        <w:snapToGrid w:val="0"/>
        <w:spacing w:line="360" w:lineRule="auto"/>
        <w:ind w:firstLine="643" w:firstLineChars="200"/>
        <w:jc w:val="both"/>
        <w:rPr>
          <w:rFonts w:hint="eastAsia" w:ascii="楷体" w:eastAsia="楷体"/>
          <w:b/>
          <w:bCs/>
          <w:color w:val="000000"/>
          <w:sz w:val="32"/>
          <w:szCs w:val="32"/>
          <w:lang w:val="en-US"/>
        </w:rPr>
      </w:pPr>
      <w:r>
        <w:rPr>
          <w:rFonts w:hint="eastAsia" w:ascii="楷体" w:eastAsia="楷体"/>
          <w:b/>
          <w:bCs/>
          <w:color w:val="000000"/>
          <w:sz w:val="32"/>
          <w:szCs w:val="32"/>
          <w:lang w:val="en-US" w:eastAsia="zh-CN"/>
        </w:rPr>
        <w:t>（三）</w:t>
      </w:r>
      <w:r>
        <w:rPr>
          <w:rFonts w:hint="eastAsia" w:ascii="楷体" w:eastAsia="楷体"/>
          <w:b/>
          <w:bCs/>
          <w:color w:val="000000"/>
          <w:sz w:val="32"/>
          <w:szCs w:val="32"/>
          <w:lang w:val="en-US"/>
        </w:rPr>
        <w:t>绩效管理体系不够完善</w:t>
      </w:r>
      <w:r>
        <w:rPr>
          <w:rFonts w:hint="eastAsia" w:ascii="楷体" w:eastAsia="楷体"/>
          <w:b/>
          <w:bCs/>
          <w:color w:val="000000"/>
          <w:sz w:val="32"/>
          <w:szCs w:val="32"/>
          <w:lang w:val="en-US" w:eastAsia="zh-CN"/>
        </w:rPr>
        <w:t>，</w:t>
      </w:r>
      <w:r>
        <w:rPr>
          <w:rFonts w:hint="eastAsia" w:ascii="楷体" w:eastAsia="楷体"/>
          <w:b/>
          <w:bCs/>
          <w:color w:val="000000"/>
          <w:sz w:val="32"/>
          <w:szCs w:val="32"/>
          <w:lang w:val="en-US"/>
        </w:rPr>
        <w:t xml:space="preserve">预算与绩效管理一体化的程度有待提高。 </w:t>
      </w:r>
    </w:p>
    <w:p w14:paraId="018983AE">
      <w:pPr>
        <w:autoSpaceDE/>
        <w:autoSpaceDN/>
        <w:adjustRightInd w:val="0"/>
        <w:snapToGrid w:val="0"/>
        <w:spacing w:line="360" w:lineRule="auto"/>
        <w:ind w:firstLine="640" w:firstLineChars="200"/>
        <w:jc w:val="both"/>
        <w:rPr>
          <w:rFonts w:hint="eastAsia" w:ascii="Times New Roman" w:hAnsi="Times New Roman" w:eastAsia="黑体"/>
          <w:sz w:val="32"/>
          <w:szCs w:val="32"/>
        </w:rPr>
      </w:pPr>
      <w:r>
        <w:rPr>
          <w:rFonts w:hint="eastAsia" w:ascii="Times New Roman" w:hAnsi="Times New Roman" w:eastAsia="仿宋" w:cs="Times New Roman"/>
          <w:color w:val="000000"/>
          <w:kern w:val="2"/>
          <w:sz w:val="32"/>
          <w:szCs w:val="32"/>
          <w:lang w:val="en-US" w:eastAsia="zh-CN" w:bidi="ar-SA"/>
        </w:rPr>
        <w:t xml:space="preserve">我局绩效指标填报不够规范、不够准确、不够全面，绩效指标没有紧紧围绕各项目标任务进行细化和量化，绩效指标的产出指标不能反映财政预算资金计划在一定期限内达到的产出。例如部门整体支出绩效目标中的产出数量指标“保障我局在职人员的正常办公、生活秩序，完成年度重点和中心工作”仅仅是为了完成既定的年度目标任务的组织中的一项保障措施，不能反应年度绩效目标任务的预计产出。 </w:t>
      </w:r>
    </w:p>
    <w:p w14:paraId="5F5812F1">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rPr>
        <w:t>八、下一步改进措施</w:t>
      </w:r>
    </w:p>
    <w:p w14:paraId="334946AB">
      <w:pPr>
        <w:pStyle w:val="3"/>
        <w:tabs>
          <w:tab w:val="left" w:pos="1840"/>
        </w:tabs>
        <w:adjustRightInd w:val="0"/>
        <w:snapToGrid w:val="0"/>
        <w:spacing w:line="360" w:lineRule="auto"/>
        <w:ind w:left="0" w:firstLine="643" w:firstLineChars="200"/>
        <w:jc w:val="both"/>
        <w:rPr>
          <w:rFonts w:ascii="楷体" w:eastAsia="楷体"/>
          <w:color w:val="000000"/>
          <w:lang w:val="en-US"/>
        </w:rPr>
      </w:pPr>
      <w:r>
        <w:rPr>
          <w:rFonts w:hint="eastAsia" w:ascii="楷体" w:eastAsia="楷体"/>
          <w:color w:val="000000"/>
          <w:lang w:val="en-US" w:eastAsia="zh-CN"/>
        </w:rPr>
        <w:t>（一）</w:t>
      </w:r>
      <w:r>
        <w:rPr>
          <w:rFonts w:hint="eastAsia" w:ascii="楷体" w:eastAsia="楷体"/>
          <w:color w:val="000000"/>
          <w:lang w:val="en-US"/>
        </w:rPr>
        <w:t>科学规划，立足全局，提高预算编制精确性。</w:t>
      </w:r>
    </w:p>
    <w:p w14:paraId="241F74AD">
      <w:pPr>
        <w:widowControl/>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 xml:space="preserve">一是根据近三年实际支出情况，合理测算各职能模块各类别项目支出的占比情况，依据我局中长期发展工作目标，结合部门年度工作方向，调整部门整体支出预算项目分类占比，优化支出预算结构。 </w:t>
      </w:r>
    </w:p>
    <w:p w14:paraId="089D606D">
      <w:pPr>
        <w:widowControl/>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 xml:space="preserve">二是在进行预算资金分配前，进一步推进预算编制与资金分配的科学化、精细化管理。如：探索事前评价方式，与各职能处室充分沟通，选择重点项目实施事前评估，对项目实施的必要性、可行性以及经济性的科学论证，增强预算资金安排的科学性。 </w:t>
      </w:r>
    </w:p>
    <w:p w14:paraId="1D27780C">
      <w:pPr>
        <w:widowControl/>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 xml:space="preserve">三是梳理近三年预算支出项目，及时甄别无效支出项目与低效支出项目，对固化在部门整体支出预算中的无效项目及低效项目进行分类处理。一方面，对于多年结转且无支出计划或预算需求的项目（无效项目），整理无效项目清单，通过召集相关负责人召开座谈会的方式决定项目处理方式，制定整改方案，并提出相应的支出计划。另一方面，对于多年预算支出率偏低的项目（低效项目），落实资金支出主体责任。要坚持问题导向，逐项排查项目清单，认真分析解决执行问题，分解工作任务，切实提高部门预算支出进度。如：督促相关负责人及时分析项目支出率低的原因，重新评估项目的合理性和必要性。在制定下一年度预算分配方案时合理考虑项目往年支出情况测算项目支出预算合理规模，并严格控制低效项目在部门年度预算中的比例。 </w:t>
      </w:r>
    </w:p>
    <w:p w14:paraId="6EC23409">
      <w:pPr>
        <w:pStyle w:val="3"/>
        <w:tabs>
          <w:tab w:val="left" w:pos="1840"/>
        </w:tabs>
        <w:adjustRightInd w:val="0"/>
        <w:snapToGrid w:val="0"/>
        <w:spacing w:line="360" w:lineRule="auto"/>
        <w:ind w:left="0" w:firstLine="643" w:firstLineChars="200"/>
        <w:jc w:val="both"/>
        <w:rPr>
          <w:rFonts w:hint="eastAsia" w:ascii="楷体" w:eastAsia="楷体"/>
          <w:color w:val="000000"/>
          <w:lang w:val="en-US" w:eastAsia="zh-CN"/>
        </w:rPr>
      </w:pPr>
      <w:r>
        <w:rPr>
          <w:rFonts w:hint="eastAsia" w:ascii="楷体" w:eastAsia="楷体"/>
          <w:color w:val="000000"/>
          <w:lang w:val="en-US" w:eastAsia="zh-CN"/>
        </w:rPr>
        <w:t xml:space="preserve">（二）重视对项目和资金的过程化管理，落实管理责任。 </w:t>
      </w:r>
    </w:p>
    <w:p w14:paraId="37A55BE9">
      <w:pPr>
        <w:widowControl/>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我局将加强项目和专项资金的事中监管，及时了解项目的实施具体情况和资金的具体流向和用途。建立重点项目实施过程的绩效反馈机制。首先可根据月预算支出进度通报，建立动态分析机制，督促进度，强化督促检查；另一方面加大对重点部门、重点项目的监控力度，可建立对重点项目实施情况的月度或季度上报机制，及时了解项目实施情况，督促局属单位对政策的落实执行，提高对重点项目的把控能力。</w:t>
      </w:r>
    </w:p>
    <w:p w14:paraId="48BB62B1">
      <w:pPr>
        <w:pStyle w:val="3"/>
        <w:tabs>
          <w:tab w:val="left" w:pos="1840"/>
        </w:tabs>
        <w:adjustRightInd w:val="0"/>
        <w:snapToGrid w:val="0"/>
        <w:spacing w:line="360" w:lineRule="auto"/>
        <w:ind w:left="0" w:firstLine="643" w:firstLineChars="200"/>
        <w:jc w:val="both"/>
        <w:rPr>
          <w:rFonts w:hint="eastAsia" w:ascii="Times New Roman" w:hAnsi="Times New Roman" w:eastAsia="仿宋" w:cs="Times New Roman"/>
          <w:color w:val="000000"/>
          <w:kern w:val="2"/>
          <w:sz w:val="32"/>
          <w:szCs w:val="32"/>
          <w:lang w:val="en-US" w:eastAsia="zh-CN" w:bidi="ar-SA"/>
        </w:rPr>
      </w:pPr>
      <w:r>
        <w:rPr>
          <w:rFonts w:hint="eastAsia" w:ascii="楷体" w:eastAsia="楷体"/>
          <w:color w:val="000000"/>
          <w:lang w:val="en-US" w:eastAsia="zh-CN"/>
        </w:rPr>
        <w:t>（三）进一步加强财务规范化管理。</w:t>
      </w:r>
    </w:p>
    <w:p w14:paraId="1447FF65">
      <w:pPr>
        <w:widowControl/>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 xml:space="preserve">一是建立并完善各部门内部资产管理制度、风险防控及处置制度等重要的内部控制体系。将发生的各项经济业务或者事项全部纳入会计核算，确保会计信息全面反映行政单位的财务状况和预算执行情况，堵上财务管理和固定资产管理的漏洞；二是对照法规进一步完善包括明确要求业务管理在内的项目经费管理办法，确保项目资金管理与业务工作管理相衔接，制定成本控制方案、专项资金监控方案、项目资金风险防范措施，并按照项目相关管理制度，及时验收、收集、报送相关材料。 三是定期对账目进行核查，及时对不合规账目进行调整处理，注意数字严谨性和勾稽关系。 </w:t>
      </w:r>
    </w:p>
    <w:p w14:paraId="7C9DEF85">
      <w:pPr>
        <w:pStyle w:val="3"/>
        <w:tabs>
          <w:tab w:val="left" w:pos="1840"/>
        </w:tabs>
        <w:adjustRightInd w:val="0"/>
        <w:snapToGrid w:val="0"/>
        <w:spacing w:line="360" w:lineRule="auto"/>
        <w:ind w:left="0" w:firstLine="643" w:firstLineChars="200"/>
        <w:jc w:val="both"/>
        <w:rPr>
          <w:rFonts w:hint="eastAsia" w:ascii="Times New Roman" w:hAnsi="Times New Roman" w:eastAsia="仿宋" w:cs="Times New Roman"/>
          <w:color w:val="000000"/>
          <w:kern w:val="2"/>
          <w:sz w:val="32"/>
          <w:szCs w:val="32"/>
          <w:lang w:val="en-US" w:eastAsia="zh-CN" w:bidi="ar-SA"/>
        </w:rPr>
      </w:pPr>
      <w:bookmarkStart w:id="1" w:name="_Toc5806"/>
      <w:r>
        <w:rPr>
          <w:rFonts w:hint="eastAsia" w:ascii="Times New Roman" w:hAnsi="Times New Roman" w:eastAsia="仿宋" w:cs="Times New Roman"/>
          <w:color w:val="000000"/>
          <w:kern w:val="2"/>
          <w:sz w:val="32"/>
          <w:szCs w:val="32"/>
          <w:lang w:val="en-US" w:eastAsia="zh-CN" w:bidi="ar-SA"/>
        </w:rPr>
        <w:t xml:space="preserve">（四）强化部门绩效管理体系建设，及时设置部门绩效目标，细化、量化绩效目标，落实绩效管理，提高绩效考核水平。 </w:t>
      </w:r>
    </w:p>
    <w:bookmarkEnd w:id="1"/>
    <w:p w14:paraId="2840DE82">
      <w:pPr>
        <w:autoSpaceDE/>
        <w:autoSpaceDN/>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我局将根据职能职责以及年度重点工作任务科学合理制定部门整体绩效目标体系，绩效目标设定要与年度工作任务紧密相关，与预算资金相匹配。从数量、质量、成本、时效以及经济效益、社会效益、生态效益、可持续影响、满意度等方面进行细化、尽量进行定量表述。不能以量化形式表述的，可采用定性表述，但应具有可衡量性。强化其在预算绩效管理中的龙头地位，提升预算绩效管理一体化水平。在科学决策、合理编制预算基础上明确专项资金实施期内及年度整体工作任务目标，填报绩效目标，并对绩效目标进行合理细化和量化，便于监测项目实施进度，有利于项目目标的实现。充分发挥绩效目标在专项实施及预算执行过程中的管理和规范作用，按计划产出、质量要求、进度及预期效益，以绩效目标作为标尺，监控项目实施过程，及时调整纠偏。</w:t>
      </w:r>
    </w:p>
    <w:p w14:paraId="7B8EA7D5">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rPr>
        <w:t>九、其他需要说明的情况</w:t>
      </w:r>
    </w:p>
    <w:p w14:paraId="5A71851C">
      <w:pPr>
        <w:widowControl/>
        <w:ind w:firstLine="640" w:firstLineChars="200"/>
        <w:rPr>
          <w:rFonts w:ascii="Times New Roman" w:hAnsi="Times New Roman" w:eastAsia="仿宋"/>
          <w:sz w:val="32"/>
          <w:szCs w:val="32"/>
        </w:rPr>
      </w:pPr>
      <w:r>
        <w:rPr>
          <w:rFonts w:hint="eastAsia" w:ascii="Times New Roman" w:hAnsi="Times New Roman" w:eastAsia="宋体"/>
          <w:sz w:val="32"/>
          <w:szCs w:val="32"/>
          <w:lang w:eastAsia="zh-CN"/>
        </w:rPr>
        <w:t>无</w:t>
      </w:r>
    </w:p>
    <w:p w14:paraId="41900ED9">
      <w:pPr>
        <w:spacing w:line="560" w:lineRule="exact"/>
        <w:rPr>
          <w:rFonts w:ascii="Times New Roman" w:hAnsi="Times New Roman" w:eastAsia="仿宋"/>
          <w:sz w:val="32"/>
          <w:szCs w:val="32"/>
        </w:rPr>
      </w:pPr>
    </w:p>
    <w:p w14:paraId="76531FB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AE7B1"/>
    <w:multiLevelType w:val="singleLevel"/>
    <w:tmpl w:val="FF8AE7B1"/>
    <w:lvl w:ilvl="0" w:tentative="0">
      <w:start w:val="1"/>
      <w:numFmt w:val="chineseCounting"/>
      <w:suff w:val="nothing"/>
      <w:lvlText w:val="%1、"/>
      <w:lvlJc w:val="left"/>
      <w:rPr>
        <w:rFonts w:hint="eastAsia"/>
      </w:rPr>
    </w:lvl>
  </w:abstractNum>
  <w:abstractNum w:abstractNumId="1">
    <w:nsid w:val="FFC6A003"/>
    <w:multiLevelType w:val="singleLevel"/>
    <w:tmpl w:val="FFC6A00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7CEDC"/>
    <w:rsid w:val="0DCD03D6"/>
    <w:rsid w:val="0EDFC912"/>
    <w:rsid w:val="0F7F90BD"/>
    <w:rsid w:val="0FB79288"/>
    <w:rsid w:val="1372CFFA"/>
    <w:rsid w:val="15FD9D58"/>
    <w:rsid w:val="167F447B"/>
    <w:rsid w:val="171D8A79"/>
    <w:rsid w:val="1BF92B71"/>
    <w:rsid w:val="1D371087"/>
    <w:rsid w:val="1DEB1331"/>
    <w:rsid w:val="1DFF2951"/>
    <w:rsid w:val="1E3B7E0D"/>
    <w:rsid w:val="1F97E373"/>
    <w:rsid w:val="1FBFFECD"/>
    <w:rsid w:val="1FD36C50"/>
    <w:rsid w:val="1FFF20E1"/>
    <w:rsid w:val="285DE4C5"/>
    <w:rsid w:val="2BFF2857"/>
    <w:rsid w:val="2D7E9D71"/>
    <w:rsid w:val="2D7EF082"/>
    <w:rsid w:val="2DDF6924"/>
    <w:rsid w:val="2FBB2BA9"/>
    <w:rsid w:val="2FD7C784"/>
    <w:rsid w:val="333B8028"/>
    <w:rsid w:val="34F3DA6E"/>
    <w:rsid w:val="34F69C4C"/>
    <w:rsid w:val="353FAC88"/>
    <w:rsid w:val="359DADD1"/>
    <w:rsid w:val="35BE39B9"/>
    <w:rsid w:val="36DD62ED"/>
    <w:rsid w:val="36FF2FEA"/>
    <w:rsid w:val="37ADB04B"/>
    <w:rsid w:val="37F5781D"/>
    <w:rsid w:val="396CA0D6"/>
    <w:rsid w:val="3A1FC789"/>
    <w:rsid w:val="3AEFF01D"/>
    <w:rsid w:val="3BBDE6B3"/>
    <w:rsid w:val="3BDD754D"/>
    <w:rsid w:val="3BEE7D2D"/>
    <w:rsid w:val="3BFF6EFE"/>
    <w:rsid w:val="3DB54897"/>
    <w:rsid w:val="3DB985D4"/>
    <w:rsid w:val="3DEE8014"/>
    <w:rsid w:val="3DF620DE"/>
    <w:rsid w:val="3DFDA01A"/>
    <w:rsid w:val="3DFE0D02"/>
    <w:rsid w:val="3EAB0813"/>
    <w:rsid w:val="3EBE193C"/>
    <w:rsid w:val="3EBF2918"/>
    <w:rsid w:val="3F3DCD3B"/>
    <w:rsid w:val="3F4C8CE9"/>
    <w:rsid w:val="3F5FF5A6"/>
    <w:rsid w:val="3F6FCD10"/>
    <w:rsid w:val="3F79C535"/>
    <w:rsid w:val="3F7C19E4"/>
    <w:rsid w:val="3FB7C46F"/>
    <w:rsid w:val="3FB9259C"/>
    <w:rsid w:val="3FBA7475"/>
    <w:rsid w:val="3FBDE140"/>
    <w:rsid w:val="3FBF686D"/>
    <w:rsid w:val="3FDBA2C3"/>
    <w:rsid w:val="3FDD9395"/>
    <w:rsid w:val="3FDFF9F8"/>
    <w:rsid w:val="3FE879B1"/>
    <w:rsid w:val="3FEF802D"/>
    <w:rsid w:val="3FF7FE45"/>
    <w:rsid w:val="3FF9DEEB"/>
    <w:rsid w:val="3FFA8DD9"/>
    <w:rsid w:val="3FFADE0E"/>
    <w:rsid w:val="3FFBA7B9"/>
    <w:rsid w:val="3FFC9189"/>
    <w:rsid w:val="3FFDBD4B"/>
    <w:rsid w:val="3FFF8437"/>
    <w:rsid w:val="4366E0F8"/>
    <w:rsid w:val="45FF6023"/>
    <w:rsid w:val="477EFFAB"/>
    <w:rsid w:val="47D77F70"/>
    <w:rsid w:val="47EFF547"/>
    <w:rsid w:val="47FEC0F3"/>
    <w:rsid w:val="49FF90C2"/>
    <w:rsid w:val="4A7F4EF3"/>
    <w:rsid w:val="4ACDD531"/>
    <w:rsid w:val="4BBFCD08"/>
    <w:rsid w:val="4BEE47E0"/>
    <w:rsid w:val="4F54426C"/>
    <w:rsid w:val="4F8D5282"/>
    <w:rsid w:val="4FB9FA62"/>
    <w:rsid w:val="4FFA151F"/>
    <w:rsid w:val="4FFD7018"/>
    <w:rsid w:val="4FFF5146"/>
    <w:rsid w:val="537CA096"/>
    <w:rsid w:val="53B954E8"/>
    <w:rsid w:val="53F2ECE9"/>
    <w:rsid w:val="55FA2E58"/>
    <w:rsid w:val="56FB8B6F"/>
    <w:rsid w:val="572D5EDD"/>
    <w:rsid w:val="578708F2"/>
    <w:rsid w:val="57BF1C7C"/>
    <w:rsid w:val="57BF61FA"/>
    <w:rsid w:val="57DA2383"/>
    <w:rsid w:val="57EB5B9F"/>
    <w:rsid w:val="57ED6FD9"/>
    <w:rsid w:val="57FEF0D8"/>
    <w:rsid w:val="58BFA5CC"/>
    <w:rsid w:val="58FE90DF"/>
    <w:rsid w:val="59B7415E"/>
    <w:rsid w:val="59E952BF"/>
    <w:rsid w:val="5A6F6D83"/>
    <w:rsid w:val="5A7B295E"/>
    <w:rsid w:val="5A7FBFD3"/>
    <w:rsid w:val="5B998E92"/>
    <w:rsid w:val="5BC7750C"/>
    <w:rsid w:val="5BCD3301"/>
    <w:rsid w:val="5BF3E069"/>
    <w:rsid w:val="5BF7424E"/>
    <w:rsid w:val="5C579593"/>
    <w:rsid w:val="5CEBF0A7"/>
    <w:rsid w:val="5D23E8A6"/>
    <w:rsid w:val="5D7BFAF5"/>
    <w:rsid w:val="5D9E3E88"/>
    <w:rsid w:val="5DCBEC24"/>
    <w:rsid w:val="5DF369C9"/>
    <w:rsid w:val="5DFF5F66"/>
    <w:rsid w:val="5DFF8479"/>
    <w:rsid w:val="5E7E4790"/>
    <w:rsid w:val="5EB6CB87"/>
    <w:rsid w:val="5EB89671"/>
    <w:rsid w:val="5EBCC9A6"/>
    <w:rsid w:val="5EEF271C"/>
    <w:rsid w:val="5EF85633"/>
    <w:rsid w:val="5F197135"/>
    <w:rsid w:val="5F3FE887"/>
    <w:rsid w:val="5F7CD83D"/>
    <w:rsid w:val="5FA78BBE"/>
    <w:rsid w:val="5FC714EE"/>
    <w:rsid w:val="5FDB72FE"/>
    <w:rsid w:val="5FEE658A"/>
    <w:rsid w:val="5FF81CCC"/>
    <w:rsid w:val="5FFBB941"/>
    <w:rsid w:val="5FFBC24D"/>
    <w:rsid w:val="5FFCE301"/>
    <w:rsid w:val="5FFF5219"/>
    <w:rsid w:val="60F7356E"/>
    <w:rsid w:val="63BF3756"/>
    <w:rsid w:val="643F4C28"/>
    <w:rsid w:val="64DD6CD7"/>
    <w:rsid w:val="64F7DDB1"/>
    <w:rsid w:val="657FEE8F"/>
    <w:rsid w:val="65DBDF5D"/>
    <w:rsid w:val="668D419F"/>
    <w:rsid w:val="679F72F9"/>
    <w:rsid w:val="679F7A96"/>
    <w:rsid w:val="67E94A5B"/>
    <w:rsid w:val="67F77E5D"/>
    <w:rsid w:val="67FA46EB"/>
    <w:rsid w:val="67FFAC28"/>
    <w:rsid w:val="69FFF3C7"/>
    <w:rsid w:val="6A3FFCF4"/>
    <w:rsid w:val="6AFF837A"/>
    <w:rsid w:val="6B5E0B85"/>
    <w:rsid w:val="6BAE8233"/>
    <w:rsid w:val="6BB7E789"/>
    <w:rsid w:val="6BD7B488"/>
    <w:rsid w:val="6BDDAFF8"/>
    <w:rsid w:val="6BEEEC74"/>
    <w:rsid w:val="6BEF0FB6"/>
    <w:rsid w:val="6BF68C3B"/>
    <w:rsid w:val="6BFFBB24"/>
    <w:rsid w:val="6C5B2FD2"/>
    <w:rsid w:val="6CFF9355"/>
    <w:rsid w:val="6D75A182"/>
    <w:rsid w:val="6D9FE807"/>
    <w:rsid w:val="6DBF2304"/>
    <w:rsid w:val="6DBF93A5"/>
    <w:rsid w:val="6DDF252A"/>
    <w:rsid w:val="6E753368"/>
    <w:rsid w:val="6EBE5A70"/>
    <w:rsid w:val="6EED6E0E"/>
    <w:rsid w:val="6EED8C30"/>
    <w:rsid w:val="6EF506E0"/>
    <w:rsid w:val="6F6F5907"/>
    <w:rsid w:val="6F93EB07"/>
    <w:rsid w:val="6FAE45A7"/>
    <w:rsid w:val="6FBD68CD"/>
    <w:rsid w:val="6FDE8D64"/>
    <w:rsid w:val="6FE0F5D1"/>
    <w:rsid w:val="6FF24751"/>
    <w:rsid w:val="6FF28694"/>
    <w:rsid w:val="737F796C"/>
    <w:rsid w:val="73C7FB1F"/>
    <w:rsid w:val="73DFA92F"/>
    <w:rsid w:val="73E78F84"/>
    <w:rsid w:val="73ED167C"/>
    <w:rsid w:val="73F7D4AB"/>
    <w:rsid w:val="73F9F227"/>
    <w:rsid w:val="73FD8ACE"/>
    <w:rsid w:val="73FF7A56"/>
    <w:rsid w:val="74DF3713"/>
    <w:rsid w:val="74FE1998"/>
    <w:rsid w:val="757D9A85"/>
    <w:rsid w:val="75B3237C"/>
    <w:rsid w:val="75BB5340"/>
    <w:rsid w:val="75E5D79C"/>
    <w:rsid w:val="75FCA93A"/>
    <w:rsid w:val="76BE4AE4"/>
    <w:rsid w:val="76DF7CBF"/>
    <w:rsid w:val="76FA9A3D"/>
    <w:rsid w:val="76FE6553"/>
    <w:rsid w:val="77714FBB"/>
    <w:rsid w:val="77730CF5"/>
    <w:rsid w:val="7777D980"/>
    <w:rsid w:val="777ED97B"/>
    <w:rsid w:val="779D7016"/>
    <w:rsid w:val="77B79F98"/>
    <w:rsid w:val="77BC64D9"/>
    <w:rsid w:val="77D36EEA"/>
    <w:rsid w:val="77DF96EB"/>
    <w:rsid w:val="77DF9C0A"/>
    <w:rsid w:val="77F59647"/>
    <w:rsid w:val="77FB2DE8"/>
    <w:rsid w:val="77FBBF49"/>
    <w:rsid w:val="77FD6D05"/>
    <w:rsid w:val="77FF31B4"/>
    <w:rsid w:val="77FFF6D7"/>
    <w:rsid w:val="785D1D2D"/>
    <w:rsid w:val="78F87E9A"/>
    <w:rsid w:val="79B56733"/>
    <w:rsid w:val="79CC0C1A"/>
    <w:rsid w:val="79DD44C9"/>
    <w:rsid w:val="7A9F3497"/>
    <w:rsid w:val="7B3B5198"/>
    <w:rsid w:val="7B777475"/>
    <w:rsid w:val="7B7DB18A"/>
    <w:rsid w:val="7B8BCA31"/>
    <w:rsid w:val="7B971AFF"/>
    <w:rsid w:val="7B9B407B"/>
    <w:rsid w:val="7BB520C8"/>
    <w:rsid w:val="7BBF768E"/>
    <w:rsid w:val="7BD3C523"/>
    <w:rsid w:val="7BEE0426"/>
    <w:rsid w:val="7BFB7E7C"/>
    <w:rsid w:val="7BFCD237"/>
    <w:rsid w:val="7BFF7E0E"/>
    <w:rsid w:val="7CFCB135"/>
    <w:rsid w:val="7CFF26A3"/>
    <w:rsid w:val="7CFFEEDF"/>
    <w:rsid w:val="7D1FAE00"/>
    <w:rsid w:val="7D410BBE"/>
    <w:rsid w:val="7DDDD4BA"/>
    <w:rsid w:val="7DE2C5E9"/>
    <w:rsid w:val="7DEDC808"/>
    <w:rsid w:val="7DEF2875"/>
    <w:rsid w:val="7DEF8B74"/>
    <w:rsid w:val="7DF753B5"/>
    <w:rsid w:val="7DF963A4"/>
    <w:rsid w:val="7DFBB57E"/>
    <w:rsid w:val="7DFD9BF7"/>
    <w:rsid w:val="7DFEFDA9"/>
    <w:rsid w:val="7DFFEED7"/>
    <w:rsid w:val="7E5FEA38"/>
    <w:rsid w:val="7E713622"/>
    <w:rsid w:val="7E767CC9"/>
    <w:rsid w:val="7E7888C5"/>
    <w:rsid w:val="7E79348F"/>
    <w:rsid w:val="7E7B5B41"/>
    <w:rsid w:val="7E7F916F"/>
    <w:rsid w:val="7EC70552"/>
    <w:rsid w:val="7EDE4B1C"/>
    <w:rsid w:val="7EDED614"/>
    <w:rsid w:val="7EE7C8F9"/>
    <w:rsid w:val="7EEBCC57"/>
    <w:rsid w:val="7EF9A012"/>
    <w:rsid w:val="7EFDBE61"/>
    <w:rsid w:val="7EFF8F19"/>
    <w:rsid w:val="7EFFE5B0"/>
    <w:rsid w:val="7F1A6E08"/>
    <w:rsid w:val="7F35AE95"/>
    <w:rsid w:val="7F3D8F3A"/>
    <w:rsid w:val="7F3F1163"/>
    <w:rsid w:val="7F3F9DD9"/>
    <w:rsid w:val="7F6F4EBF"/>
    <w:rsid w:val="7F734D97"/>
    <w:rsid w:val="7F7789FE"/>
    <w:rsid w:val="7F7DB219"/>
    <w:rsid w:val="7F7DF904"/>
    <w:rsid w:val="7F7F11E1"/>
    <w:rsid w:val="7F7F53E5"/>
    <w:rsid w:val="7FA717AB"/>
    <w:rsid w:val="7FB4F3FF"/>
    <w:rsid w:val="7FB72ED9"/>
    <w:rsid w:val="7FBDBEFF"/>
    <w:rsid w:val="7FBF1CDD"/>
    <w:rsid w:val="7FBF5611"/>
    <w:rsid w:val="7FCF6388"/>
    <w:rsid w:val="7FD45922"/>
    <w:rsid w:val="7FDC70EF"/>
    <w:rsid w:val="7FDFD4DF"/>
    <w:rsid w:val="7FE34FC6"/>
    <w:rsid w:val="7FE6C9B5"/>
    <w:rsid w:val="7FE705C0"/>
    <w:rsid w:val="7FEBDCD4"/>
    <w:rsid w:val="7FED3002"/>
    <w:rsid w:val="7FED8AD9"/>
    <w:rsid w:val="7FEFB089"/>
    <w:rsid w:val="7FEFB168"/>
    <w:rsid w:val="7FEFFD7B"/>
    <w:rsid w:val="7FF71750"/>
    <w:rsid w:val="7FF789FF"/>
    <w:rsid w:val="7FF82CD7"/>
    <w:rsid w:val="7FF8542F"/>
    <w:rsid w:val="7FF8E25D"/>
    <w:rsid w:val="7FFA2925"/>
    <w:rsid w:val="7FFCE7C9"/>
    <w:rsid w:val="7FFE30B8"/>
    <w:rsid w:val="7FFE4AC4"/>
    <w:rsid w:val="7FFE4B5D"/>
    <w:rsid w:val="7FFF40D9"/>
    <w:rsid w:val="7FFFE0D6"/>
    <w:rsid w:val="7FFFE847"/>
    <w:rsid w:val="82D5EC2B"/>
    <w:rsid w:val="86F33045"/>
    <w:rsid w:val="876DD113"/>
    <w:rsid w:val="8BEF8FF5"/>
    <w:rsid w:val="8BFF0F3F"/>
    <w:rsid w:val="8DFFA1DD"/>
    <w:rsid w:val="94EB4C7A"/>
    <w:rsid w:val="969E59AE"/>
    <w:rsid w:val="97F26EF1"/>
    <w:rsid w:val="99DF8A62"/>
    <w:rsid w:val="9AD7147B"/>
    <w:rsid w:val="9BDDEA8D"/>
    <w:rsid w:val="9BFEB52E"/>
    <w:rsid w:val="9BFF77C1"/>
    <w:rsid w:val="9C3FB883"/>
    <w:rsid w:val="9CDA555C"/>
    <w:rsid w:val="9EE9AD4E"/>
    <w:rsid w:val="9EEF694D"/>
    <w:rsid w:val="9F2F5E97"/>
    <w:rsid w:val="9F5F8ED2"/>
    <w:rsid w:val="9FDF0B16"/>
    <w:rsid w:val="9FFD3BF8"/>
    <w:rsid w:val="A734DF66"/>
    <w:rsid w:val="A7D235C4"/>
    <w:rsid w:val="A7DF2DD7"/>
    <w:rsid w:val="A8996032"/>
    <w:rsid w:val="AF6DC4DF"/>
    <w:rsid w:val="AF6FB37D"/>
    <w:rsid w:val="AFFB4645"/>
    <w:rsid w:val="AFFCFD09"/>
    <w:rsid w:val="AFFF3261"/>
    <w:rsid w:val="B3F71D42"/>
    <w:rsid w:val="B58FA2A3"/>
    <w:rsid w:val="B5DB80AD"/>
    <w:rsid w:val="B6BF0573"/>
    <w:rsid w:val="B7D778E4"/>
    <w:rsid w:val="B7DF38FF"/>
    <w:rsid w:val="B7E55E28"/>
    <w:rsid w:val="B7EF26CA"/>
    <w:rsid w:val="B7EFB9C2"/>
    <w:rsid w:val="BABD4E2C"/>
    <w:rsid w:val="BADB54F1"/>
    <w:rsid w:val="BBAF9C3F"/>
    <w:rsid w:val="BBEF12BC"/>
    <w:rsid w:val="BBF91213"/>
    <w:rsid w:val="BC1FF4DC"/>
    <w:rsid w:val="BCCB44B9"/>
    <w:rsid w:val="BCFF18C4"/>
    <w:rsid w:val="BD3CAB2A"/>
    <w:rsid w:val="BD7B4112"/>
    <w:rsid w:val="BDBB9FD9"/>
    <w:rsid w:val="BDBF4574"/>
    <w:rsid w:val="BDCF7688"/>
    <w:rsid w:val="BE6DAAA7"/>
    <w:rsid w:val="BE8E0EAB"/>
    <w:rsid w:val="BEBD3E17"/>
    <w:rsid w:val="BEFD49F9"/>
    <w:rsid w:val="BF3F2718"/>
    <w:rsid w:val="BF760B85"/>
    <w:rsid w:val="BFB32253"/>
    <w:rsid w:val="BFBB8F4D"/>
    <w:rsid w:val="BFCD0BF6"/>
    <w:rsid w:val="BFE3635A"/>
    <w:rsid w:val="BFE75336"/>
    <w:rsid w:val="BFEB843B"/>
    <w:rsid w:val="BFF94C73"/>
    <w:rsid w:val="BFFDEF91"/>
    <w:rsid w:val="BFFF4495"/>
    <w:rsid w:val="C551F0E1"/>
    <w:rsid w:val="C7FB6E3E"/>
    <w:rsid w:val="C85DB5E1"/>
    <w:rsid w:val="C89EC5EA"/>
    <w:rsid w:val="C8FFA49A"/>
    <w:rsid w:val="CBBD8877"/>
    <w:rsid w:val="CBDFEDB0"/>
    <w:rsid w:val="CD766D44"/>
    <w:rsid w:val="CDFF722D"/>
    <w:rsid w:val="CE637036"/>
    <w:rsid w:val="CF3634E9"/>
    <w:rsid w:val="CF778492"/>
    <w:rsid w:val="CF79B2F0"/>
    <w:rsid w:val="CF7FF08A"/>
    <w:rsid w:val="CF97EB2C"/>
    <w:rsid w:val="CFBFD0A4"/>
    <w:rsid w:val="CFDDCA63"/>
    <w:rsid w:val="CFE40124"/>
    <w:rsid w:val="CFFEF44D"/>
    <w:rsid w:val="D2FF7CBA"/>
    <w:rsid w:val="D3E70584"/>
    <w:rsid w:val="D5BD7939"/>
    <w:rsid w:val="D5C8D733"/>
    <w:rsid w:val="D5FF0DBF"/>
    <w:rsid w:val="D6DFF909"/>
    <w:rsid w:val="D6FF9669"/>
    <w:rsid w:val="D71D9869"/>
    <w:rsid w:val="D7272EFD"/>
    <w:rsid w:val="D73FE4C8"/>
    <w:rsid w:val="D777C34B"/>
    <w:rsid w:val="D77FFFD1"/>
    <w:rsid w:val="D7B73DED"/>
    <w:rsid w:val="D7B7AEF6"/>
    <w:rsid w:val="D7CF7C94"/>
    <w:rsid w:val="D7FAE3EE"/>
    <w:rsid w:val="D97E7AFA"/>
    <w:rsid w:val="D9BDD8A0"/>
    <w:rsid w:val="D9EB694B"/>
    <w:rsid w:val="DBBBF038"/>
    <w:rsid w:val="DBFB08A7"/>
    <w:rsid w:val="DBFF6EB2"/>
    <w:rsid w:val="DBFFC0D1"/>
    <w:rsid w:val="DC4353FB"/>
    <w:rsid w:val="DD5D2DC7"/>
    <w:rsid w:val="DDF9AE89"/>
    <w:rsid w:val="DDFB6014"/>
    <w:rsid w:val="DEDB0982"/>
    <w:rsid w:val="DEEF4046"/>
    <w:rsid w:val="DEF72A28"/>
    <w:rsid w:val="DEFA4042"/>
    <w:rsid w:val="DF3B554F"/>
    <w:rsid w:val="DF45F864"/>
    <w:rsid w:val="DF768619"/>
    <w:rsid w:val="DF7F3C54"/>
    <w:rsid w:val="DFB7342C"/>
    <w:rsid w:val="DFB9A560"/>
    <w:rsid w:val="DFC7E51A"/>
    <w:rsid w:val="DFEF7569"/>
    <w:rsid w:val="DFF32F1B"/>
    <w:rsid w:val="DFF79F41"/>
    <w:rsid w:val="DFFD4AA5"/>
    <w:rsid w:val="DFFDFFC8"/>
    <w:rsid w:val="DFFE76AB"/>
    <w:rsid w:val="DFFF7C4C"/>
    <w:rsid w:val="E4EB67D0"/>
    <w:rsid w:val="E5737044"/>
    <w:rsid w:val="E69E6DC7"/>
    <w:rsid w:val="E6F6C2FE"/>
    <w:rsid w:val="E77F8279"/>
    <w:rsid w:val="E79B2588"/>
    <w:rsid w:val="E7B3A868"/>
    <w:rsid w:val="EACFBA3F"/>
    <w:rsid w:val="EAF75FA6"/>
    <w:rsid w:val="EB5FB851"/>
    <w:rsid w:val="EB77C980"/>
    <w:rsid w:val="EB7FF340"/>
    <w:rsid w:val="EBFF5C05"/>
    <w:rsid w:val="ED729D4C"/>
    <w:rsid w:val="EDBA5C0A"/>
    <w:rsid w:val="EDF92AA4"/>
    <w:rsid w:val="EDFEE18F"/>
    <w:rsid w:val="EE3FE56C"/>
    <w:rsid w:val="EEDFD295"/>
    <w:rsid w:val="EEFBE79B"/>
    <w:rsid w:val="EEFE2E9A"/>
    <w:rsid w:val="EEFFB2EE"/>
    <w:rsid w:val="EF0BC793"/>
    <w:rsid w:val="EF3267C7"/>
    <w:rsid w:val="EF33C2B1"/>
    <w:rsid w:val="EF7F5C4B"/>
    <w:rsid w:val="EFA701F5"/>
    <w:rsid w:val="EFD38DF5"/>
    <w:rsid w:val="EFDDCC4E"/>
    <w:rsid w:val="EFDDDFD1"/>
    <w:rsid w:val="EFDF73D2"/>
    <w:rsid w:val="EFF32BA1"/>
    <w:rsid w:val="EFF6FA80"/>
    <w:rsid w:val="EFF70FEA"/>
    <w:rsid w:val="EFFB3938"/>
    <w:rsid w:val="EFFFC2B5"/>
    <w:rsid w:val="F1BFD44C"/>
    <w:rsid w:val="F2BB0BBF"/>
    <w:rsid w:val="F2FF3D4F"/>
    <w:rsid w:val="F37965CB"/>
    <w:rsid w:val="F39F48FC"/>
    <w:rsid w:val="F3BBB594"/>
    <w:rsid w:val="F3EFCE75"/>
    <w:rsid w:val="F3FFB7D2"/>
    <w:rsid w:val="F55F9090"/>
    <w:rsid w:val="F5BFB0F8"/>
    <w:rsid w:val="F5FF994E"/>
    <w:rsid w:val="F6E77BFB"/>
    <w:rsid w:val="F6F7DD73"/>
    <w:rsid w:val="F705AAFF"/>
    <w:rsid w:val="F76FF115"/>
    <w:rsid w:val="F77EE9B6"/>
    <w:rsid w:val="F7BB3F73"/>
    <w:rsid w:val="F7CAF6B7"/>
    <w:rsid w:val="F7DF6836"/>
    <w:rsid w:val="F7F923C4"/>
    <w:rsid w:val="F7FBD9F8"/>
    <w:rsid w:val="F7FD4416"/>
    <w:rsid w:val="F7FE426A"/>
    <w:rsid w:val="F7FE9191"/>
    <w:rsid w:val="F7FF79B2"/>
    <w:rsid w:val="F7FF83ED"/>
    <w:rsid w:val="F7FFD11D"/>
    <w:rsid w:val="F8D7256A"/>
    <w:rsid w:val="F93D962A"/>
    <w:rsid w:val="F9D7DAEC"/>
    <w:rsid w:val="F9FD885C"/>
    <w:rsid w:val="FA5F171B"/>
    <w:rsid w:val="FA7E50E3"/>
    <w:rsid w:val="FA8E3074"/>
    <w:rsid w:val="FA8F4342"/>
    <w:rsid w:val="FADC2748"/>
    <w:rsid w:val="FAF18C2F"/>
    <w:rsid w:val="FAFB7910"/>
    <w:rsid w:val="FB371115"/>
    <w:rsid w:val="FB7FBCAA"/>
    <w:rsid w:val="FBBFD658"/>
    <w:rsid w:val="FBDB9BDE"/>
    <w:rsid w:val="FBDF6E34"/>
    <w:rsid w:val="FBE740BA"/>
    <w:rsid w:val="FBF5C448"/>
    <w:rsid w:val="FBF77C3A"/>
    <w:rsid w:val="FBF9BA5B"/>
    <w:rsid w:val="FBFE1B18"/>
    <w:rsid w:val="FC1D2007"/>
    <w:rsid w:val="FC3F10B5"/>
    <w:rsid w:val="FCDBBFD8"/>
    <w:rsid w:val="FCE6BE01"/>
    <w:rsid w:val="FD59A971"/>
    <w:rsid w:val="FD6E5AF6"/>
    <w:rsid w:val="FD979904"/>
    <w:rsid w:val="FDA82D66"/>
    <w:rsid w:val="FDB2010B"/>
    <w:rsid w:val="FDBF5FA3"/>
    <w:rsid w:val="FDEF20E2"/>
    <w:rsid w:val="FDF32BDB"/>
    <w:rsid w:val="FDF5BB29"/>
    <w:rsid w:val="FDFD7D85"/>
    <w:rsid w:val="FE7F0025"/>
    <w:rsid w:val="FEAEF0E1"/>
    <w:rsid w:val="FEB502FF"/>
    <w:rsid w:val="FEBB067E"/>
    <w:rsid w:val="FECF1BEF"/>
    <w:rsid w:val="FECFFD5D"/>
    <w:rsid w:val="FED75A14"/>
    <w:rsid w:val="FEE7BA81"/>
    <w:rsid w:val="FEEB24F8"/>
    <w:rsid w:val="FEEEEAA7"/>
    <w:rsid w:val="FEEF93C7"/>
    <w:rsid w:val="FEEFDC8A"/>
    <w:rsid w:val="FEF7B5FD"/>
    <w:rsid w:val="FEFA5435"/>
    <w:rsid w:val="FEFC9F82"/>
    <w:rsid w:val="FF1AAEFA"/>
    <w:rsid w:val="FF1F4B52"/>
    <w:rsid w:val="FF4F0BF5"/>
    <w:rsid w:val="FF51F0C4"/>
    <w:rsid w:val="FF5BE1F5"/>
    <w:rsid w:val="FF5FAFCE"/>
    <w:rsid w:val="FF673DF6"/>
    <w:rsid w:val="FF6C0AD2"/>
    <w:rsid w:val="FF6FB129"/>
    <w:rsid w:val="FF731D19"/>
    <w:rsid w:val="FF7B2ECB"/>
    <w:rsid w:val="FF7D34E0"/>
    <w:rsid w:val="FF7F9102"/>
    <w:rsid w:val="FFAB8009"/>
    <w:rsid w:val="FFAEA34F"/>
    <w:rsid w:val="FFB5B6A2"/>
    <w:rsid w:val="FFBBC05C"/>
    <w:rsid w:val="FFBC916A"/>
    <w:rsid w:val="FFBEDF77"/>
    <w:rsid w:val="FFBFAAE9"/>
    <w:rsid w:val="FFC3E9C5"/>
    <w:rsid w:val="FFCF85AF"/>
    <w:rsid w:val="FFD2BB22"/>
    <w:rsid w:val="FFD3E89D"/>
    <w:rsid w:val="FFD909D9"/>
    <w:rsid w:val="FFDE69DF"/>
    <w:rsid w:val="FFDF3E33"/>
    <w:rsid w:val="FFE5940A"/>
    <w:rsid w:val="FFEAA6F8"/>
    <w:rsid w:val="FFEFC3FD"/>
    <w:rsid w:val="FFF69E6D"/>
    <w:rsid w:val="FFF78BCB"/>
    <w:rsid w:val="FFF7FCE1"/>
    <w:rsid w:val="FFFA4F57"/>
    <w:rsid w:val="FFFBFA13"/>
    <w:rsid w:val="FFFD1460"/>
    <w:rsid w:val="FFFDC662"/>
    <w:rsid w:val="FFFDC666"/>
    <w:rsid w:val="FFFE0AF7"/>
    <w:rsid w:val="FFFEA8A2"/>
    <w:rsid w:val="FFFEB41E"/>
    <w:rsid w:val="FFFF0CEF"/>
    <w:rsid w:val="FFFF2EE4"/>
    <w:rsid w:val="FFFF3390"/>
    <w:rsid w:val="FFFF4115"/>
    <w:rsid w:val="FFFF7271"/>
    <w:rsid w:val="FFFF91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1"/>
    <w:pPr>
      <w:ind w:left="831" w:firstLine="640"/>
      <w:outlineLvl w:val="1"/>
    </w:pPr>
    <w:rPr>
      <w:b/>
      <w:bCs/>
      <w:sz w:val="32"/>
      <w:szCs w:val="3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rPr>
      <w:rFonts w:ascii="Calibri" w:hAnsi="Calibri"/>
      <w:szCs w:val="21"/>
    </w:rPr>
  </w:style>
  <w:style w:type="paragraph" w:styleId="4">
    <w:name w:val="Normal Indent"/>
    <w:basedOn w:val="1"/>
    <w:next w:val="1"/>
    <w:qFormat/>
    <w:uiPriority w:val="0"/>
    <w:pPr>
      <w:ind w:firstLine="420" w:firstLineChars="200"/>
    </w:pPr>
    <w:rPr>
      <w:rFonts w:eastAsia="仿宋"/>
      <w:sz w:val="32"/>
    </w:rPr>
  </w:style>
  <w:style w:type="paragraph" w:styleId="5">
    <w:name w:val="Body Text"/>
    <w:basedOn w:val="1"/>
    <w:qFormat/>
    <w:uiPriority w:val="1"/>
    <w:rPr>
      <w:sz w:val="32"/>
      <w:szCs w:val="32"/>
    </w:rPr>
  </w:style>
  <w:style w:type="paragraph" w:styleId="6">
    <w:name w:val="Body Text Indent"/>
    <w:basedOn w:val="1"/>
    <w:next w:val="4"/>
    <w:unhideWhenUsed/>
    <w:qFormat/>
    <w:uiPriority w:val="99"/>
    <w:pPr>
      <w:spacing w:after="120"/>
      <w:ind w:left="420" w:leftChars="200"/>
    </w:pPr>
  </w:style>
  <w:style w:type="paragraph" w:styleId="7">
    <w:name w:val="toc 4"/>
    <w:basedOn w:val="1"/>
    <w:next w:val="1"/>
    <w:unhideWhenUsed/>
    <w:qFormat/>
    <w:uiPriority w:val="39"/>
    <w:pPr>
      <w:ind w:left="1260" w:leftChars="600"/>
    </w:pPr>
  </w:style>
  <w:style w:type="paragraph" w:styleId="8">
    <w:name w:val="Body Text First Indent 2"/>
    <w:basedOn w:val="6"/>
    <w:next w:val="7"/>
    <w:qFormat/>
    <w:uiPriority w:val="0"/>
    <w:pPr>
      <w:widowControl w:val="0"/>
      <w:adjustRightInd/>
      <w:snapToGrid/>
      <w:spacing w:after="0"/>
      <w:ind w:left="0" w:leftChars="0" w:firstLine="420" w:firstLineChars="200"/>
      <w:jc w:val="both"/>
    </w:pPr>
    <w:rPr>
      <w:rFonts w:ascii="Calibri" w:hAnsi="Calibri" w:eastAsia="Times New Roman"/>
      <w:sz w:val="20"/>
      <w:szCs w:val="24"/>
    </w:rPr>
  </w:style>
  <w:style w:type="paragraph" w:styleId="11">
    <w:name w:val="List Paragraph"/>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4409</Words>
  <Characters>4559</Characters>
  <Lines>0</Lines>
  <Paragraphs>0</Paragraphs>
  <TotalTime>55</TotalTime>
  <ScaleCrop>false</ScaleCrop>
  <LinksUpToDate>false</LinksUpToDate>
  <CharactersWithSpaces>4591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2014-11-06T12:08:00Z</dcterms:created>
  <dc:creator>Administrator</dc:creator>
  <cp:lastModifiedBy>邓婷</cp:lastModifiedBy>
  <cp:lastPrinted>2025-05-28T09:13:00Z</cp:lastPrinted>
  <dcterms:modified xsi:type="dcterms:W3CDTF">2026-03-13T07:01:20Z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376CA1ED21154289A95B7CE91E23D7EA_13</vt:lpwstr>
  </property>
  <property fmtid="{D5CDD505-2E9C-101B-9397-08002B2CF9AE}" pid="4" name="KSOTemplateDocerSaveRecord">
    <vt:lpwstr>eyJoZGlkIjoiN2Y2YTkzM2Q3ZjFmZDA3MzYxZmZlNThiZjdiNmYxNGYiLCJ1c2VySWQiOiIxMDY5MjgzMDcxIn0=</vt:lpwstr>
  </property>
</Properties>
</file>