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after="0" w:line="560" w:lineRule="exact"/>
        <w:rPr>
          <w:rFonts w:ascii="方正小标宋简体" w:eastAsia="方正小标宋简体" w:cs="Times New Roman"/>
          <w:sz w:val="44"/>
          <w:szCs w:val="44"/>
        </w:rPr>
      </w:pPr>
      <w:r>
        <w:rPr>
          <w:rFonts w:hint="eastAsia" w:ascii="方正小标宋简体" w:eastAsia="方正小标宋简体" w:cs="方正小标宋简体"/>
          <w:sz w:val="44"/>
          <w:szCs w:val="44"/>
        </w:rPr>
        <w:t>市科技局</w:t>
      </w:r>
      <w:r>
        <w:rPr>
          <w:rFonts w:ascii="方正小标宋简体" w:eastAsia="方正小标宋简体" w:cs="方正小标宋简体"/>
          <w:sz w:val="44"/>
          <w:szCs w:val="44"/>
        </w:rPr>
        <w:t>20</w:t>
      </w:r>
      <w:r>
        <w:rPr>
          <w:rFonts w:hint="eastAsia" w:ascii="方正小标宋简体" w:eastAsia="方正小标宋简体" w:cs="方正小标宋简体"/>
          <w:sz w:val="44"/>
          <w:szCs w:val="44"/>
        </w:rPr>
        <w:t>24年度预算支出绩效评价报告</w:t>
      </w:r>
    </w:p>
    <w:p>
      <w:pPr>
        <w:adjustRightInd w:val="0"/>
        <w:snapToGrid w:val="0"/>
        <w:spacing w:line="560" w:lineRule="exact"/>
        <w:jc w:val="left"/>
      </w:pPr>
    </w:p>
    <w:p>
      <w:pPr>
        <w:widowControl/>
        <w:shd w:val="clear" w:color="auto" w:fill="FFFFFF"/>
        <w:spacing w:line="64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w:t>
      </w:r>
      <w:r>
        <w:rPr>
          <w:rFonts w:eastAsia="仿宋"/>
          <w:color w:val="000000"/>
          <w:kern w:val="0"/>
          <w:sz w:val="32"/>
          <w:szCs w:val="32"/>
        </w:rPr>
        <w:t>按照《衡阳市财政局关于开展202</w:t>
      </w:r>
      <w:r>
        <w:rPr>
          <w:rFonts w:hint="eastAsia" w:eastAsia="仿宋"/>
          <w:color w:val="000000"/>
          <w:kern w:val="0"/>
          <w:sz w:val="32"/>
          <w:szCs w:val="32"/>
        </w:rPr>
        <w:t>4</w:t>
      </w:r>
      <w:r>
        <w:rPr>
          <w:rFonts w:eastAsia="仿宋"/>
          <w:color w:val="000000"/>
          <w:kern w:val="0"/>
          <w:sz w:val="32"/>
          <w:szCs w:val="32"/>
        </w:rPr>
        <w:t>年度预算支出绩效自评工作的通知》要求</w:t>
      </w:r>
      <w:r>
        <w:rPr>
          <w:rFonts w:hint="eastAsia" w:ascii="仿宋" w:hAnsi="仿宋" w:eastAsia="仿宋" w:cs="仿宋"/>
          <w:kern w:val="0"/>
          <w:sz w:val="32"/>
          <w:szCs w:val="32"/>
        </w:rPr>
        <w:t>，我局对</w:t>
      </w:r>
      <w:r>
        <w:rPr>
          <w:rFonts w:ascii="仿宋" w:hAnsi="仿宋" w:eastAsia="仿宋" w:cs="仿宋"/>
          <w:kern w:val="0"/>
          <w:sz w:val="32"/>
          <w:szCs w:val="32"/>
        </w:rPr>
        <w:t>20</w:t>
      </w:r>
      <w:r>
        <w:rPr>
          <w:rFonts w:hint="eastAsia" w:ascii="仿宋" w:hAnsi="仿宋" w:eastAsia="仿宋" w:cs="仿宋"/>
          <w:kern w:val="0"/>
          <w:sz w:val="32"/>
          <w:szCs w:val="32"/>
        </w:rPr>
        <w:t>24年度部门整体预算支出绩效评价如下。</w:t>
      </w:r>
    </w:p>
    <w:p>
      <w:pPr>
        <w:adjustRightInd w:val="0"/>
        <w:snapToGrid w:val="0"/>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一、2024度部门整体支出</w:t>
      </w:r>
    </w:p>
    <w:p>
      <w:pPr>
        <w:snapToGrid w:val="0"/>
        <w:spacing w:line="560" w:lineRule="exact"/>
        <w:ind w:firstLine="643" w:firstLineChars="200"/>
        <w:rPr>
          <w:rFonts w:ascii="仿宋" w:hAnsi="仿宋" w:eastAsia="仿宋" w:cs="宋体"/>
          <w:b/>
          <w:color w:val="414141"/>
          <w:kern w:val="0"/>
          <w:sz w:val="32"/>
          <w:szCs w:val="32"/>
        </w:rPr>
      </w:pPr>
      <w:r>
        <w:rPr>
          <w:rFonts w:hint="eastAsia" w:ascii="仿宋" w:hAnsi="仿宋" w:eastAsia="仿宋" w:cs="宋体"/>
          <w:b/>
          <w:color w:val="414141"/>
          <w:kern w:val="0"/>
          <w:sz w:val="32"/>
          <w:szCs w:val="32"/>
        </w:rPr>
        <w:t>（一）基本情况</w:t>
      </w:r>
    </w:p>
    <w:p>
      <w:pPr>
        <w:snapToGrid w:val="0"/>
        <w:spacing w:line="56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1．职能职责及机构设置。“衡阳市科学技术局职能配置、内设机构和人员编制的规定”方案涉密，不予公开。</w:t>
      </w:r>
    </w:p>
    <w:p>
      <w:pPr>
        <w:snapToGrid w:val="0"/>
        <w:spacing w:line="56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2．人员情况。截至2024年12月31日，</w:t>
      </w:r>
      <w:r>
        <w:rPr>
          <w:rFonts w:ascii="仿宋" w:hAnsi="仿宋" w:eastAsia="仿宋" w:cs="宋体"/>
          <w:color w:val="414141"/>
          <w:kern w:val="0"/>
          <w:sz w:val="32"/>
          <w:szCs w:val="32"/>
        </w:rPr>
        <w:t>现有在编在岗干部职工</w:t>
      </w:r>
      <w:r>
        <w:rPr>
          <w:rFonts w:hint="eastAsia" w:ascii="仿宋" w:hAnsi="仿宋" w:eastAsia="仿宋" w:cs="宋体"/>
          <w:color w:val="414141"/>
          <w:kern w:val="0"/>
          <w:sz w:val="32"/>
          <w:szCs w:val="32"/>
        </w:rPr>
        <w:t>54</w:t>
      </w:r>
      <w:r>
        <w:rPr>
          <w:rFonts w:ascii="仿宋" w:hAnsi="仿宋" w:eastAsia="仿宋" w:cs="宋体"/>
          <w:color w:val="414141"/>
          <w:kern w:val="0"/>
          <w:sz w:val="32"/>
          <w:szCs w:val="32"/>
        </w:rPr>
        <w:t>人，离休人员</w:t>
      </w:r>
      <w:r>
        <w:rPr>
          <w:rFonts w:hint="eastAsia" w:ascii="仿宋" w:hAnsi="仿宋" w:eastAsia="仿宋" w:cs="宋体"/>
          <w:color w:val="414141"/>
          <w:kern w:val="0"/>
          <w:sz w:val="32"/>
          <w:szCs w:val="32"/>
        </w:rPr>
        <w:t>1</w:t>
      </w:r>
      <w:r>
        <w:rPr>
          <w:rFonts w:ascii="仿宋" w:hAnsi="仿宋" w:eastAsia="仿宋" w:cs="宋体"/>
          <w:color w:val="414141"/>
          <w:kern w:val="0"/>
          <w:sz w:val="32"/>
          <w:szCs w:val="32"/>
        </w:rPr>
        <w:t>人，退休人员</w:t>
      </w:r>
      <w:r>
        <w:rPr>
          <w:rFonts w:hint="eastAsia" w:ascii="仿宋" w:hAnsi="仿宋" w:eastAsia="仿宋" w:cs="宋体"/>
          <w:color w:val="414141"/>
          <w:kern w:val="0"/>
          <w:sz w:val="32"/>
          <w:szCs w:val="32"/>
        </w:rPr>
        <w:t>58</w:t>
      </w:r>
      <w:r>
        <w:rPr>
          <w:rFonts w:ascii="仿宋" w:hAnsi="仿宋" w:eastAsia="仿宋" w:cs="宋体"/>
          <w:color w:val="414141"/>
          <w:kern w:val="0"/>
          <w:sz w:val="32"/>
          <w:szCs w:val="32"/>
        </w:rPr>
        <w:t>人</w:t>
      </w:r>
      <w:r>
        <w:rPr>
          <w:rFonts w:hint="eastAsia" w:ascii="仿宋" w:hAnsi="仿宋" w:eastAsia="仿宋" w:cs="宋体"/>
          <w:color w:val="414141"/>
          <w:kern w:val="0"/>
          <w:sz w:val="32"/>
          <w:szCs w:val="32"/>
        </w:rPr>
        <w:t>。</w:t>
      </w:r>
    </w:p>
    <w:p>
      <w:pPr>
        <w:snapToGrid w:val="0"/>
        <w:spacing w:line="56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3.</w:t>
      </w:r>
      <w:r>
        <w:rPr>
          <w:rFonts w:ascii="仿宋" w:hAnsi="仿宋" w:eastAsia="仿宋" w:cs="宋体"/>
          <w:color w:val="414141"/>
          <w:kern w:val="0"/>
          <w:sz w:val="32"/>
          <w:szCs w:val="32"/>
        </w:rPr>
        <w:t>20</w:t>
      </w:r>
      <w:r>
        <w:rPr>
          <w:rFonts w:hint="eastAsia" w:ascii="仿宋" w:hAnsi="仿宋" w:eastAsia="仿宋" w:cs="宋体"/>
          <w:color w:val="414141"/>
          <w:kern w:val="0"/>
          <w:sz w:val="32"/>
          <w:szCs w:val="32"/>
        </w:rPr>
        <w:t>24年重点工作成效。</w:t>
      </w:r>
    </w:p>
    <w:p>
      <w:pPr>
        <w:snapToGrid w:val="0"/>
        <w:spacing w:line="560" w:lineRule="exact"/>
        <w:ind w:firstLine="640" w:firstLineChars="200"/>
        <w:rPr>
          <w:rFonts w:hint="eastAsia" w:ascii="仿宋" w:hAnsi="仿宋" w:eastAsia="仿宋" w:cs="宋体"/>
          <w:color w:val="414141"/>
          <w:kern w:val="0"/>
          <w:sz w:val="32"/>
          <w:szCs w:val="32"/>
        </w:rPr>
      </w:pPr>
      <w:r>
        <w:rPr>
          <w:rFonts w:hint="eastAsia" w:ascii="仿宋" w:hAnsi="仿宋" w:eastAsia="仿宋" w:cs="宋体"/>
          <w:color w:val="414141"/>
          <w:kern w:val="0"/>
          <w:sz w:val="32"/>
          <w:szCs w:val="32"/>
        </w:rPr>
        <w:t>2024年，</w:t>
      </w:r>
      <w:r>
        <w:rPr>
          <w:rFonts w:ascii="仿宋" w:hAnsi="仿宋" w:eastAsia="仿宋" w:cs="宋体"/>
          <w:color w:val="414141"/>
          <w:kern w:val="0"/>
          <w:sz w:val="32"/>
          <w:szCs w:val="32"/>
        </w:rPr>
        <w:t>衡阳继2023年科技创新攻坚仗获省政府真抓实干督查激励表扬后，科技创新提升行动再次获省政府大抓落实工作激励表扬，衡阳市人民政府作为市州代表在全省科技工作会议上作典型发言。</w:t>
      </w:r>
    </w:p>
    <w:p>
      <w:pPr>
        <w:snapToGrid w:val="0"/>
        <w:spacing w:line="560" w:lineRule="exact"/>
        <w:ind w:firstLine="640" w:firstLineChars="200"/>
        <w:rPr>
          <w:rFonts w:ascii="仿宋" w:hAnsi="仿宋" w:eastAsia="仿宋"/>
          <w:sz w:val="32"/>
          <w:szCs w:val="32"/>
        </w:rPr>
      </w:pPr>
      <w:r>
        <w:rPr>
          <w:rFonts w:ascii="仿宋" w:hAnsi="仿宋" w:eastAsia="仿宋" w:cs="宋体"/>
          <w:color w:val="414141"/>
          <w:kern w:val="0"/>
          <w:sz w:val="32"/>
          <w:szCs w:val="32"/>
        </w:rPr>
        <w:t>（</w:t>
      </w:r>
      <w:r>
        <w:rPr>
          <w:rFonts w:hint="eastAsia" w:ascii="仿宋" w:hAnsi="仿宋" w:eastAsia="仿宋" w:cs="宋体"/>
          <w:color w:val="414141"/>
          <w:kern w:val="0"/>
          <w:sz w:val="32"/>
          <w:szCs w:val="32"/>
        </w:rPr>
        <w:t>1）</w:t>
      </w:r>
      <w:r>
        <w:rPr>
          <w:rFonts w:ascii="仿宋" w:hAnsi="仿宋" w:eastAsia="仿宋" w:cs="宋体"/>
          <w:color w:val="414141"/>
          <w:kern w:val="0"/>
          <w:sz w:val="32"/>
          <w:szCs w:val="32"/>
        </w:rPr>
        <w:t>坚持创新引领，提升行动铸就科技新篇。2023年全市研发经费投入92.</w:t>
      </w:r>
      <w:r>
        <w:rPr>
          <w:rFonts w:ascii="仿宋" w:hAnsi="仿宋" w:eastAsia="仿宋"/>
          <w:sz w:val="32"/>
          <w:szCs w:val="32"/>
        </w:rPr>
        <w:t>04亿元（2024年11月统计部门发布），投入强度达2.2%，同比增长12.8%，增速位居全省A类地区第三。2024年，全市高新技术企业连续四年保持高位增长，全年共组织申报559家，公示通过445家，申报数和通过数创新高，增速居全省A类地区首位。2200余家企业入库科技型中小企业，增速和总量排名全省前列。衡阳连续三年上榜全国数字百强城市，连续四年跻身“城市科技创新竞争力”百强城市。国家创新型城市创新能力评价，我市进入全国前90名，比上年度前进7位。省委科技委办公室向市委、市政府致感谢信，肯定衡阳在科技创新高地建设中作出的积极贡献。</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坚持协同共进，勠力同心凝聚发展力量。2024年，全市上下同频共振，全力推进科技创新工作，成功构建起协同共进的大科技工作格局。市发改委把培育创新平台作为推动技术进步和产业转型升级的重要支撑，依靠科技创新提升“衡阳制造”的核心竞争力。市财政局科学优化财政支出结构，财政科技支出只增不减，为科技发展筑牢资金保障。市统计局提供精准数据支撑，主动开展业务指导，贴心服务企业，助力科技工作稳步前行。市工信局推动科技创新与产业创新深度融合，实现国家级产业集群从无到有的突破。市市场监管局积极培育高价值发明专利，进一步加大转化力度，推动科技成果向现实生产力转化。市税务局积极落实科技惠企政策，为企业发展助力赋能。衡阳高新区创新活力持续迸发，创新能力稳步提升，彰显强劲实力。衡阳县、衡南县、珠晖区、雁峰区科工信局持续推动加大研发投入，专注创新主体培育，获省政府“八大行动”通报表扬。南华大学在争取国省研发项目、深化基础研究、加速成果转化等方面成绩显著。湖南工学院强化政产学研合作，创新赋能成效逐渐显现。市农科院推动科技创新与农业产业紧密结合，为乡村振兴注入科技力量 。</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坚持平台筑基，久久为功厚蓄创新实力。2024年，各县市区、高校及科研院所、企业纷纷行动，新建或提升各自的研发平台，形成了立体化、广覆盖的创新平台网络。积极对接省“4+4科创工程”，南华大学“辐射-线粒体与人类重大疾病”国家重点实验室培育基地建设进一步提速，“放射性药物装备研发平台”入列芙蓉实验室。服务衡阳智能衡器计量产业园打造中部计量新高地，配合省科技厅专门为产业园编制了《湖南省现代化产业体系重点产业链技术创新图谱（智能计量衡器）》。目前，中国计量科学研究院、南华大学等一批科研院所和高校与园区建立了合作关系。耒阳经开区获评省级高新区（全省仅新增4家）；衡南高新区获省政府大抓落实表彰。祁东县等省级创新型县市区培育建设稳步推进。获批省级科技成果中试基地2家（仅次于长沙），省级技术转移示范机构2家、科普基地8家，新增省级孵化器2家、众创空间2家、新型研发机构1家，为创新创业提供了更多优质平台支持。</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坚持加大投入，不畏艰难突破技术瓶颈。我们重点围绕衡阳十五条核心产业链，持续加大研发投入。科技赋能旅发成效明显，认真组织实施第三届湖南旅发大会科技专项，争取省级科技经费4000万元。对“钟表工业旅游融合发展关键技术研发与应用”“新建湘工业文化园建设”等科技赋能文化产业创新项目给予重点支持。协同创新取得实质进展，南华大学首次设立高校联合基金400万元，古汉中药有限公司首次设立企业联合基金300万元，撬动基础研究经费近900万元。全市84个项目获2025年度湖南省自然科学区域联合基金立项。技术攻关实现有效突破，衡器产业园镭钼科技第四代核反应堆用液位测量系统研制与示范应用获批全省仅10个的省重大科技攻关项目。省十大技术攻关项目率为公司“新一代光子晶体光纤陀螺”通过了省厅现场验收，大井医疗获省重点研发专项立项。我市15个项目获湖南省科学技术奖，其中，衡阳华菱钢管参与的“极端工况油气开采和输送用钢材制造关键技术及应用”项目，获省科技进步奖一等奖。</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坚持成果转化，精准对接释放创新潜能。积极搭建产学研合作桥梁，大力推动科技成果加快转化，产出了一批原创性科研成果。我国首台100kW超高功率工业光纤激光器、首款具有完全自主知识产权的肝癌诊断试剂盒相继研制成功，正快速推广应用。我国第一台磁约束核聚变仿星器装置正加速落地。全年开展科技成果对接暨投融资项目路演活动10余场次，发布技术需求239项，促成16个项目完成与企业的科技成果转化项目合作签约，签约金额总额达4000余万元。全市建成11家潇湘科技要素大市场县市区工作站，基本实现全覆盖建设目标任务。实现技术合同交易成交额357亿元，同比增长24%；其中高校技术合同成交额5.6亿元，同比增长343%；在衡高校科技成果本地转化率达26%，提升11个百分点。</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坚持人才至上，全面引培激发创新活力。我们深入落实人才雁阵行动计划，全方位培养、引进和使用科技人才。全市持有效来华工作许可证78人，在衡外国专家人才数位居全省第二，3名企业人才入选国家人才计划，新增省高层次人才12人，新增“三尖”人才23人，新增省杰青、优青各4人。湖南恒岳重钢风电塔架智能制造科技创新创业团队入选2024年芙蓉计划省企业科技创新创业团队。湖南金凯循环科技股份有限公司董事长颜群轩获批国家科技创业领军人才，特变电工衡阳变压器有限公司宁澔如获批湖南省科技创新领军人才，实现了衡阳企业国、省高层次人才零的突破。常态化开展高层次科技人才分类认定工作，新认定高层次科技人才26人。14人入选衡阳市第二届优秀专家人才。全市科技专家服务团专家人数达1101人，举办各类培训讲座573次，参加培训人数超11万人次。成功举办“湘智兴湘·在湘外国专家衡阳行”活动，来自埃及、美国等13个国家的70多名中外专家参加，并获得省科技厅高度评价。</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7</w:t>
      </w:r>
      <w:r>
        <w:rPr>
          <w:rFonts w:ascii="仿宋" w:hAnsi="仿宋" w:eastAsia="仿宋"/>
          <w:sz w:val="32"/>
          <w:szCs w:val="32"/>
        </w:rPr>
        <w:t>）坚持生态优化，开拓探索厚植创新优势。我们不断完善科技创新机制，优化科技创新服务。在衡首次举办了与祁东县政府共同承办的2024年湖南科技活动周启动仪式暨科技潇湘行活动。我市3支队伍获省科学实验展演比赛三等奖，2名选手获省科普讲解大赛三等奖，市科技局获得优秀组织奖。在2025首届全球天使祝融峰会，通过“峰会+专场招商+科技成果转化活动”模式，探索“基金招商+以商招商+科技成果转化”的衡阳样板。持续开展科技型企业知识价值信用贷款风险补偿改革，全年累计发放知识价值信用贷款18.16亿元。2024年全市白名单企业已达3422家，惠及科技型企业602家，有效助力了科技型企业纾困解难。</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（二）部门整体支出管理及使用情况</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2024年度部门整体支出1527.64万元，按经济科目分类，工资福利支出914.82万元，对个人和家庭补助支出193.26万元，商品和服务支出418.8万元，资本性支出0.76万元。</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1.基本支出。2024年度基本支出1339.57万元，主要用于机关运行中人员及公用经费的开支。2024年“三公”经费支出4.92万元，比上年减少2.77%：公车运行维护费4.31万元，比上年减少5.9%，主要原因是公车维护费用略有下降;公务接待费0.61万元，比上年增加27.08%，主要原因是第三届湖南省旅由发展大会在衡阳市召开，公务接待次数、标准增加。</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2024年机关运行经费201.93万元，比上年减少26.4万元，减少11.58%。主要原因是本年度一是因人员减少导致一般公共预算财政拨款公用经费减少；二是年初一般公共预算财政拨款公用经费减少。</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项目支出。严格按照专项资金使用范围，保证项目资金的专款专用。2024年度局项目实际支出188.07万元，2024年度项目支出财政预算为300.55万元,主要项目：孵化中心运行20万元（运行维护经费）、科技计划项目管理经费50万元（业务工作经费），2023-2024省创新型身份建设工作经费（业务工作经费）223.05万元,驻村补贴7.5万元。</w:t>
      </w:r>
    </w:p>
    <w:p>
      <w:pPr>
        <w:pBdr>
          <w:bottom w:val="single" w:color="FFFFFF" w:sz="4" w:space="31"/>
        </w:pBdr>
        <w:tabs>
          <w:tab w:val="left" w:pos="1440"/>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kern w:val="0"/>
          <w:sz w:val="32"/>
          <w:szCs w:val="32"/>
        </w:rPr>
        <w:t>1、通过孵化中心运行项目管理和实施，示范带动本市孵化器、众创空间等国家和省级创新创业基地建设，提升创客空间孵化能力，创造就业岗位，</w:t>
      </w:r>
      <w:r>
        <w:rPr>
          <w:rFonts w:ascii="仿宋" w:hAnsi="仿宋" w:eastAsia="仿宋"/>
          <w:sz w:val="32"/>
          <w:szCs w:val="32"/>
        </w:rPr>
        <w:t>为创新创业提供了更多优质平台支持。</w:t>
      </w:r>
      <w:r>
        <w:rPr>
          <w:rFonts w:hint="eastAsia" w:ascii="仿宋" w:hAnsi="仿宋" w:eastAsia="仿宋"/>
          <w:sz w:val="32"/>
          <w:szCs w:val="32"/>
        </w:rPr>
        <w:t>2024年</w:t>
      </w:r>
      <w:r>
        <w:rPr>
          <w:rFonts w:ascii="仿宋" w:hAnsi="仿宋" w:eastAsia="仿宋"/>
          <w:sz w:val="32"/>
          <w:szCs w:val="32"/>
        </w:rPr>
        <w:t>获批省级科技成果中试基地2家（仅次于长沙），省级技术转移示范机构2家、科普基地8家，新增省级孵化器2家、众创空间2家、新型研发机构1家</w:t>
      </w:r>
      <w:r>
        <w:rPr>
          <w:rFonts w:hint="eastAsia" w:ascii="仿宋" w:hAnsi="仿宋" w:eastAsia="仿宋"/>
          <w:sz w:val="32"/>
          <w:szCs w:val="32"/>
        </w:rPr>
        <w:t>。</w:t>
      </w:r>
      <w:r>
        <w:rPr>
          <w:rFonts w:ascii="仿宋" w:hAnsi="仿宋" w:eastAsia="仿宋"/>
          <w:sz w:val="32"/>
          <w:szCs w:val="32"/>
        </w:rPr>
        <w:t xml:space="preserve"> </w:t>
      </w:r>
    </w:p>
    <w:p>
      <w:pPr>
        <w:pBdr>
          <w:bottom w:val="single" w:color="FFFFFF" w:sz="4" w:space="31"/>
        </w:pBdr>
        <w:tabs>
          <w:tab w:val="left" w:pos="1440"/>
        </w:tabs>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通过科技计划项目的管理和实施，建立了基于信息聚合推送的智慧科技服务平台,实现动态掌握产业技术发展现状、产业政策以及成果转化等高价值情报信息。严格落实科技创新计划项目管理和科技报告相关制度，加强市科技创新计划项目管理和科技报告平台的科学化、规范化管理，为项目单位提供便捷的服务。</w:t>
      </w:r>
      <w:r>
        <w:rPr>
          <w:rFonts w:ascii="仿宋" w:hAnsi="仿宋" w:eastAsia="仿宋" w:cs="仿宋"/>
          <w:kern w:val="0"/>
          <w:sz w:val="32"/>
          <w:szCs w:val="32"/>
        </w:rPr>
        <w:t>全市84个项目获2025年度湖南省自然科学区域联合基金立项</w:t>
      </w:r>
      <w:r>
        <w:rPr>
          <w:rFonts w:hint="eastAsia" w:ascii="仿宋" w:hAnsi="仿宋" w:eastAsia="仿宋" w:cs="仿宋"/>
          <w:kern w:val="0"/>
          <w:sz w:val="32"/>
          <w:szCs w:val="32"/>
        </w:rPr>
        <w:t>。</w:t>
      </w:r>
      <w:r>
        <w:rPr>
          <w:rFonts w:ascii="仿宋" w:hAnsi="仿宋" w:eastAsia="仿宋" w:cs="仿宋"/>
          <w:kern w:val="0"/>
          <w:sz w:val="32"/>
          <w:szCs w:val="32"/>
        </w:rPr>
        <w:t>衡器产业园镭钼科技第四代核反应堆用液位测量系统研制与示范应用获批全省仅10个的省重大科技攻关项目</w:t>
      </w:r>
      <w:r>
        <w:rPr>
          <w:rFonts w:hint="eastAsia" w:ascii="仿宋" w:hAnsi="仿宋" w:eastAsia="仿宋" w:cs="仿宋"/>
          <w:kern w:val="0"/>
          <w:sz w:val="32"/>
          <w:szCs w:val="32"/>
        </w:rPr>
        <w:t>。</w:t>
      </w:r>
      <w:r>
        <w:rPr>
          <w:rFonts w:ascii="仿宋" w:hAnsi="仿宋" w:eastAsia="仿宋" w:cs="仿宋"/>
          <w:kern w:val="0"/>
          <w:sz w:val="32"/>
          <w:szCs w:val="32"/>
        </w:rPr>
        <w:t>我市15个项目获湖南省科学技术奖，其中，衡阳华菱钢管参与的“极端工况油气开采和输送用钢材制造关键技术及应用”项目，获省科技进步奖一等奖。</w:t>
      </w:r>
    </w:p>
    <w:p>
      <w:pPr>
        <w:pBdr>
          <w:bottom w:val="single" w:color="FFFFFF" w:sz="4" w:space="31"/>
        </w:pBdr>
        <w:tabs>
          <w:tab w:val="left" w:pos="1440"/>
        </w:tabs>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3、通过2023-2024年创新型省份建设项目的组织和管理，</w:t>
      </w:r>
      <w:r>
        <w:rPr>
          <w:rFonts w:ascii="仿宋" w:hAnsi="仿宋" w:eastAsia="仿宋" w:cs="仿宋"/>
          <w:kern w:val="0"/>
          <w:sz w:val="32"/>
          <w:szCs w:val="32"/>
        </w:rPr>
        <w:t>组织实施第三届湖南旅发大会科技专项，争取省级科技经费4000万元。全年开展科技成果对接暨投融资项目路演活动10余场次，发布技术需求239项，促成16个项目完成与企业的科技成果转化项目合作签约，签约金额总额达4000余万元。全市建成11家潇湘科技要素大市场县市区工作站，基本实现全覆盖建设目标任务。实现技术合同交易成交额357亿元，同比增长24%；其中高校技术合同成交额5.6亿元，同比增长343%；在衡高校科技成果本地转化率达26%，提升11个百分点。在衡首次举办了与祁东县政府共同承办的2024年湖南科技活动周启动仪式暨科技潇湘行活动。我市3支队伍获省科学实验展演比赛三等奖，2名选手获省科普讲解大赛三等奖，市科技局获得优秀组织奖。</w:t>
      </w:r>
      <w:r>
        <w:rPr>
          <w:rFonts w:hint="eastAsia" w:ascii="仿宋" w:hAnsi="仿宋" w:eastAsia="仿宋" w:cs="仿宋"/>
          <w:kern w:val="0"/>
          <w:sz w:val="32"/>
          <w:szCs w:val="32"/>
        </w:rPr>
        <w:t>组织、实施衡阳市第七届“创新创业”大赛。</w:t>
      </w:r>
      <w:r>
        <w:rPr>
          <w:rFonts w:ascii="仿宋" w:hAnsi="仿宋" w:eastAsia="仿宋" w:cs="仿宋"/>
          <w:kern w:val="0"/>
          <w:sz w:val="32"/>
          <w:szCs w:val="32"/>
        </w:rPr>
        <w:t>2023年全市研发经费投入92.04亿元（2024年11月统计部门发布），投入强度达2.2%，同比增长12.8%，增速位居全省A类地区第三。2024年，全市高新技术企业连续四年保持高位增长，全年共组织申报559家，公示通过445家，申报数和通过数创新高，增速居全省A类地区首位。2200余家企业入库科技型中小企业，增速和总量排名全省前列。衡阳连续三年上榜全国数字百强城市，连续四年跻身“城市科技创新竞争力”百强城市。国家创新型城市创新能力评价，我市进入全国前90名，比上年度前进7位。全市科技专家服务团专家人数达1101人，举办各类培训讲座573次，参加培训人数超11万人次。成功举办“湘智兴湘·在湘外国专家衡阳行”活动</w:t>
      </w:r>
      <w:r>
        <w:rPr>
          <w:rFonts w:hint="eastAsia" w:ascii="仿宋" w:hAnsi="仿宋" w:eastAsia="仿宋" w:cs="仿宋"/>
          <w:kern w:val="0"/>
          <w:sz w:val="32"/>
          <w:szCs w:val="32"/>
        </w:rPr>
        <w:t>。</w:t>
      </w:r>
    </w:p>
    <w:p>
      <w:pPr>
        <w:pBdr>
          <w:bottom w:val="single" w:color="FFFFFF" w:sz="4" w:space="31"/>
        </w:pBdr>
        <w:tabs>
          <w:tab w:val="left" w:pos="1440"/>
        </w:tabs>
        <w:adjustRightInd w:val="0"/>
        <w:snapToGrid w:val="0"/>
        <w:spacing w:line="600" w:lineRule="exact"/>
        <w:ind w:firstLine="640" w:firstLineChars="200"/>
        <w:rPr>
          <w:rFonts w:ascii="仿宋" w:hAnsi="仿宋" w:eastAsia="仿宋" w:cs="仿宋"/>
          <w:kern w:val="0"/>
          <w:sz w:val="32"/>
          <w:szCs w:val="32"/>
          <w:highlight w:val="yellow"/>
        </w:rPr>
      </w:pPr>
      <w:r>
        <w:rPr>
          <w:rFonts w:hint="eastAsia" w:ascii="仿宋" w:hAnsi="仿宋" w:eastAsia="仿宋" w:cs="仿宋"/>
          <w:kern w:val="0"/>
          <w:sz w:val="32"/>
          <w:szCs w:val="32"/>
        </w:rPr>
        <w:t>3、通过</w:t>
      </w:r>
      <w:r>
        <w:rPr>
          <w:rFonts w:hint="eastAsia" w:ascii="仿宋" w:hAnsi="仿宋" w:eastAsia="仿宋"/>
          <w:sz w:val="32"/>
          <w:szCs w:val="32"/>
        </w:rPr>
        <w:t>驻村补贴项目</w:t>
      </w:r>
      <w:r>
        <w:rPr>
          <w:rFonts w:hint="eastAsia" w:ascii="仿宋" w:hAnsi="仿宋" w:eastAsia="仿宋" w:cs="仿宋"/>
          <w:kern w:val="0"/>
          <w:sz w:val="32"/>
          <w:szCs w:val="32"/>
        </w:rPr>
        <w:t>的组织和管理，分别派驻工作队赴衡阳县岣嵝乡高峰村、中共珠晖区东风街道六一村社区并提供相应的经费保障。2024年驻村帮扶工作队与村“两委”一起开展调查摸底、找准突出问题，制定年度工作计划并组织实施，协调争取相关部分的支持，进一步建强基层组织、为民办事服务、提升治理水平。</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（三）绩效自评情况</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1.预算配置方面。财政供养人员控制在预算编制以内，编制内在职人员控制率83.08%，不存在超编现象。“三公”经费预算根据本单位实际情况与上年相比，有了适当的调整。</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2.预算执行方面。支出总额控制在预算总额以内，全年预算执行数1527.64万元，执行率91.17%。</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预算管理方面。资金拨付严格按照预算功能科目进行审批程序和手续，预、决算信息及时进行公开，对预算实行动态管理，整体预算管理符合相关标准和要求，各类资金均明确相应管理办法，确保资金使用合规。</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4.履职效益方面。2024年，衡阳</w:t>
      </w:r>
      <w:r>
        <w:rPr>
          <w:rFonts w:ascii="仿宋" w:hAnsi="仿宋" w:eastAsia="仿宋" w:cs="宋体"/>
          <w:color w:val="414141"/>
          <w:kern w:val="0"/>
          <w:sz w:val="32"/>
          <w:szCs w:val="32"/>
        </w:rPr>
        <w:t>科技创新提升行动再次获省政府大抓落实工作激励表扬</w:t>
      </w:r>
      <w:r>
        <w:rPr>
          <w:rFonts w:hint="eastAsia" w:ascii="仿宋" w:hAnsi="仿宋" w:eastAsia="仿宋" w:cs="仿宋"/>
          <w:kern w:val="0"/>
          <w:sz w:val="32"/>
          <w:szCs w:val="32"/>
        </w:rPr>
        <w:t>。</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（四）存在问题与建议</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1.存在问题：一是基本支出经费保障较之以前有了很大的提高，但公用经费预算水平偏低，基本保障面临巨大压力;二是项目经费全年执行力有待加强，部分项目资金执行率偏低。</w:t>
      </w:r>
    </w:p>
    <w:p>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下一步改进措施。一是按照“应编尽编”的原则编制年度预算，科学合理设置经济科目；二是进一步加强预算管理，提高资金使用效率;三是建立健全内控制度，抓住关键环节，提高资产管理、加班审批、合同管理等内部控制质量;四是增强节约意识，落实过"紧日子"要求，严控一般性支出努力建设节约型机关单位。</w:t>
      </w:r>
    </w:p>
    <w:p>
      <w:pPr>
        <w:spacing w:line="570" w:lineRule="exact"/>
        <w:ind w:firstLine="1440" w:firstLineChars="450"/>
        <w:rPr>
          <w:rFonts w:ascii="仿宋" w:hAnsi="仿宋" w:eastAsia="仿宋" w:cs="仿宋"/>
          <w:kern w:val="0"/>
          <w:sz w:val="32"/>
          <w:szCs w:val="32"/>
        </w:rPr>
      </w:pPr>
    </w:p>
    <w:p>
      <w:pPr>
        <w:spacing w:line="570" w:lineRule="exact"/>
        <w:ind w:firstLine="1440" w:firstLineChars="450"/>
        <w:jc w:val="right"/>
        <w:rPr>
          <w:rFonts w:ascii="仿宋" w:hAnsi="仿宋" w:eastAsia="仿宋" w:cs="仿宋"/>
          <w:kern w:val="0"/>
          <w:sz w:val="32"/>
          <w:szCs w:val="32"/>
        </w:rPr>
      </w:pPr>
      <w:r>
        <w:rPr>
          <w:rFonts w:hint="eastAsia" w:ascii="仿宋" w:hAnsi="仿宋" w:eastAsia="仿宋" w:cs="仿宋"/>
          <w:kern w:val="0"/>
          <w:sz w:val="32"/>
          <w:szCs w:val="32"/>
        </w:rPr>
        <w:t>衡阳市科学技术局</w:t>
      </w:r>
    </w:p>
    <w:p>
      <w:pPr>
        <w:adjustRightInd w:val="0"/>
        <w:snapToGrid w:val="0"/>
        <w:spacing w:line="560" w:lineRule="exact"/>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2025年 2月</w:t>
      </w:r>
      <w:r>
        <w:rPr>
          <w:rFonts w:hint="eastAsia" w:ascii="仿宋" w:hAnsi="仿宋" w:eastAsia="仿宋" w:cs="仿宋"/>
          <w:kern w:val="0"/>
          <w:sz w:val="32"/>
          <w:szCs w:val="32"/>
          <w:lang w:val="en-US" w:eastAsia="zh-CN"/>
        </w:rPr>
        <w:t>24</w:t>
      </w:r>
      <w:bookmarkStart w:id="0" w:name="_GoBack"/>
      <w:bookmarkEnd w:id="0"/>
      <w:r>
        <w:rPr>
          <w:rFonts w:hint="eastAsia" w:ascii="仿宋" w:hAnsi="仿宋" w:eastAsia="仿宋" w:cs="仿宋"/>
          <w:kern w:val="0"/>
          <w:sz w:val="32"/>
          <w:szCs w:val="32"/>
        </w:rPr>
        <w:t>日</w:t>
      </w: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CF5"/>
    <w:rsid w:val="000274EE"/>
    <w:rsid w:val="0003409B"/>
    <w:rsid w:val="000428FD"/>
    <w:rsid w:val="00043D1A"/>
    <w:rsid w:val="00045DDE"/>
    <w:rsid w:val="00050208"/>
    <w:rsid w:val="000522BE"/>
    <w:rsid w:val="0005381D"/>
    <w:rsid w:val="00056494"/>
    <w:rsid w:val="00063CF5"/>
    <w:rsid w:val="0007045A"/>
    <w:rsid w:val="00073E28"/>
    <w:rsid w:val="000A233D"/>
    <w:rsid w:val="000A2393"/>
    <w:rsid w:val="000B0119"/>
    <w:rsid w:val="000F02EA"/>
    <w:rsid w:val="000F3DA1"/>
    <w:rsid w:val="001052F7"/>
    <w:rsid w:val="00107F7A"/>
    <w:rsid w:val="001118AC"/>
    <w:rsid w:val="00121DF3"/>
    <w:rsid w:val="00123B90"/>
    <w:rsid w:val="001242B6"/>
    <w:rsid w:val="001301ED"/>
    <w:rsid w:val="001401EF"/>
    <w:rsid w:val="00154201"/>
    <w:rsid w:val="00154261"/>
    <w:rsid w:val="001624E6"/>
    <w:rsid w:val="0016732B"/>
    <w:rsid w:val="00177480"/>
    <w:rsid w:val="00177CE0"/>
    <w:rsid w:val="00183A4F"/>
    <w:rsid w:val="00190A49"/>
    <w:rsid w:val="00196053"/>
    <w:rsid w:val="00197FE0"/>
    <w:rsid w:val="001A23EC"/>
    <w:rsid w:val="001A3A6C"/>
    <w:rsid w:val="001C1992"/>
    <w:rsid w:val="001C26E4"/>
    <w:rsid w:val="001D1BE9"/>
    <w:rsid w:val="001E0F37"/>
    <w:rsid w:val="001E7BB4"/>
    <w:rsid w:val="00202735"/>
    <w:rsid w:val="0020501C"/>
    <w:rsid w:val="002067F2"/>
    <w:rsid w:val="00213C15"/>
    <w:rsid w:val="002158A2"/>
    <w:rsid w:val="002275C8"/>
    <w:rsid w:val="002320DC"/>
    <w:rsid w:val="002409FD"/>
    <w:rsid w:val="00242AB0"/>
    <w:rsid w:val="00244BD1"/>
    <w:rsid w:val="00245F16"/>
    <w:rsid w:val="00252E0C"/>
    <w:rsid w:val="00262AA1"/>
    <w:rsid w:val="00286735"/>
    <w:rsid w:val="002934D8"/>
    <w:rsid w:val="00293D38"/>
    <w:rsid w:val="002A34F8"/>
    <w:rsid w:val="002C434C"/>
    <w:rsid w:val="002D167B"/>
    <w:rsid w:val="002D4ECB"/>
    <w:rsid w:val="002D54CA"/>
    <w:rsid w:val="002E3475"/>
    <w:rsid w:val="002E568B"/>
    <w:rsid w:val="002E5D65"/>
    <w:rsid w:val="002E6AF6"/>
    <w:rsid w:val="002F2B2C"/>
    <w:rsid w:val="002F3688"/>
    <w:rsid w:val="002F5F00"/>
    <w:rsid w:val="003047E3"/>
    <w:rsid w:val="003134AA"/>
    <w:rsid w:val="00322616"/>
    <w:rsid w:val="003233E7"/>
    <w:rsid w:val="003264B7"/>
    <w:rsid w:val="00357B3E"/>
    <w:rsid w:val="00361D93"/>
    <w:rsid w:val="0036350A"/>
    <w:rsid w:val="00375A11"/>
    <w:rsid w:val="003A26A3"/>
    <w:rsid w:val="003A7089"/>
    <w:rsid w:val="003B5D5E"/>
    <w:rsid w:val="003C59E1"/>
    <w:rsid w:val="003D1843"/>
    <w:rsid w:val="00402F76"/>
    <w:rsid w:val="00405CEA"/>
    <w:rsid w:val="004148EA"/>
    <w:rsid w:val="00416969"/>
    <w:rsid w:val="00416D8A"/>
    <w:rsid w:val="00431F0C"/>
    <w:rsid w:val="00432301"/>
    <w:rsid w:val="00432666"/>
    <w:rsid w:val="00436892"/>
    <w:rsid w:val="00454373"/>
    <w:rsid w:val="00485064"/>
    <w:rsid w:val="004878F3"/>
    <w:rsid w:val="00490651"/>
    <w:rsid w:val="004942C3"/>
    <w:rsid w:val="00494AA4"/>
    <w:rsid w:val="004A5926"/>
    <w:rsid w:val="004B53D5"/>
    <w:rsid w:val="004B5711"/>
    <w:rsid w:val="004B64CF"/>
    <w:rsid w:val="004C0D8F"/>
    <w:rsid w:val="004C2297"/>
    <w:rsid w:val="004C769D"/>
    <w:rsid w:val="004D1B39"/>
    <w:rsid w:val="004D62DE"/>
    <w:rsid w:val="004E0EFE"/>
    <w:rsid w:val="005140F4"/>
    <w:rsid w:val="0052120A"/>
    <w:rsid w:val="00525E88"/>
    <w:rsid w:val="00536DB2"/>
    <w:rsid w:val="005374C5"/>
    <w:rsid w:val="005446D3"/>
    <w:rsid w:val="00545DAF"/>
    <w:rsid w:val="00547B77"/>
    <w:rsid w:val="00547D26"/>
    <w:rsid w:val="00557D26"/>
    <w:rsid w:val="00560618"/>
    <w:rsid w:val="00584F04"/>
    <w:rsid w:val="005A439E"/>
    <w:rsid w:val="005B0C4D"/>
    <w:rsid w:val="005B789C"/>
    <w:rsid w:val="005C4111"/>
    <w:rsid w:val="005C5632"/>
    <w:rsid w:val="005D7BBE"/>
    <w:rsid w:val="005F01ED"/>
    <w:rsid w:val="005F269D"/>
    <w:rsid w:val="00601944"/>
    <w:rsid w:val="00601BC1"/>
    <w:rsid w:val="00636A7E"/>
    <w:rsid w:val="00641A8D"/>
    <w:rsid w:val="00644A4E"/>
    <w:rsid w:val="00651134"/>
    <w:rsid w:val="006610B9"/>
    <w:rsid w:val="00664038"/>
    <w:rsid w:val="006711CE"/>
    <w:rsid w:val="00672E4C"/>
    <w:rsid w:val="00674130"/>
    <w:rsid w:val="006768E5"/>
    <w:rsid w:val="00677DC0"/>
    <w:rsid w:val="00685EC1"/>
    <w:rsid w:val="006866CE"/>
    <w:rsid w:val="00687115"/>
    <w:rsid w:val="006879A6"/>
    <w:rsid w:val="006A216A"/>
    <w:rsid w:val="006A49CF"/>
    <w:rsid w:val="006B446D"/>
    <w:rsid w:val="006C763D"/>
    <w:rsid w:val="006D5299"/>
    <w:rsid w:val="006D6D59"/>
    <w:rsid w:val="006E57D2"/>
    <w:rsid w:val="00701CBC"/>
    <w:rsid w:val="00717DB3"/>
    <w:rsid w:val="00730DD0"/>
    <w:rsid w:val="0074143E"/>
    <w:rsid w:val="00745960"/>
    <w:rsid w:val="00753DB6"/>
    <w:rsid w:val="00760ADC"/>
    <w:rsid w:val="00763109"/>
    <w:rsid w:val="00763E02"/>
    <w:rsid w:val="00783033"/>
    <w:rsid w:val="007978F2"/>
    <w:rsid w:val="007C442D"/>
    <w:rsid w:val="007C77FA"/>
    <w:rsid w:val="00805F30"/>
    <w:rsid w:val="008105DF"/>
    <w:rsid w:val="0081696A"/>
    <w:rsid w:val="00827558"/>
    <w:rsid w:val="00830AC7"/>
    <w:rsid w:val="00831D92"/>
    <w:rsid w:val="00853B59"/>
    <w:rsid w:val="00854EB6"/>
    <w:rsid w:val="00866A93"/>
    <w:rsid w:val="008718D8"/>
    <w:rsid w:val="0087322C"/>
    <w:rsid w:val="00873370"/>
    <w:rsid w:val="00880251"/>
    <w:rsid w:val="00880796"/>
    <w:rsid w:val="008A23A4"/>
    <w:rsid w:val="008A7AA4"/>
    <w:rsid w:val="008C693F"/>
    <w:rsid w:val="008D10C0"/>
    <w:rsid w:val="008F643E"/>
    <w:rsid w:val="00904265"/>
    <w:rsid w:val="00912012"/>
    <w:rsid w:val="009167CF"/>
    <w:rsid w:val="00933BE1"/>
    <w:rsid w:val="00943C45"/>
    <w:rsid w:val="00945B05"/>
    <w:rsid w:val="00952A54"/>
    <w:rsid w:val="00974888"/>
    <w:rsid w:val="00974E51"/>
    <w:rsid w:val="00985E71"/>
    <w:rsid w:val="009866CD"/>
    <w:rsid w:val="00986FA2"/>
    <w:rsid w:val="009940D0"/>
    <w:rsid w:val="00995EF0"/>
    <w:rsid w:val="009C1E4C"/>
    <w:rsid w:val="009D47B0"/>
    <w:rsid w:val="009D48BD"/>
    <w:rsid w:val="009D5E36"/>
    <w:rsid w:val="009E0B51"/>
    <w:rsid w:val="009E268A"/>
    <w:rsid w:val="009E6F05"/>
    <w:rsid w:val="009F53C1"/>
    <w:rsid w:val="009F7CF7"/>
    <w:rsid w:val="00A135F5"/>
    <w:rsid w:val="00A16046"/>
    <w:rsid w:val="00A1631B"/>
    <w:rsid w:val="00A20944"/>
    <w:rsid w:val="00A26ACF"/>
    <w:rsid w:val="00A32E92"/>
    <w:rsid w:val="00A4171F"/>
    <w:rsid w:val="00A50BC1"/>
    <w:rsid w:val="00A51737"/>
    <w:rsid w:val="00A55FAC"/>
    <w:rsid w:val="00A65482"/>
    <w:rsid w:val="00A70684"/>
    <w:rsid w:val="00A71533"/>
    <w:rsid w:val="00A769FB"/>
    <w:rsid w:val="00A806DD"/>
    <w:rsid w:val="00A80C98"/>
    <w:rsid w:val="00A81302"/>
    <w:rsid w:val="00A91261"/>
    <w:rsid w:val="00A945C6"/>
    <w:rsid w:val="00AA60D4"/>
    <w:rsid w:val="00AB19F3"/>
    <w:rsid w:val="00AD5E32"/>
    <w:rsid w:val="00AD673F"/>
    <w:rsid w:val="00AE71D7"/>
    <w:rsid w:val="00AF00AD"/>
    <w:rsid w:val="00AF2E7B"/>
    <w:rsid w:val="00B0382E"/>
    <w:rsid w:val="00B07ABD"/>
    <w:rsid w:val="00B12692"/>
    <w:rsid w:val="00B25BEC"/>
    <w:rsid w:val="00B43A0E"/>
    <w:rsid w:val="00B44BE3"/>
    <w:rsid w:val="00B51AC2"/>
    <w:rsid w:val="00B55EC0"/>
    <w:rsid w:val="00B602BE"/>
    <w:rsid w:val="00B60BC9"/>
    <w:rsid w:val="00B61973"/>
    <w:rsid w:val="00B67814"/>
    <w:rsid w:val="00B7000A"/>
    <w:rsid w:val="00B72B72"/>
    <w:rsid w:val="00B73209"/>
    <w:rsid w:val="00B84C08"/>
    <w:rsid w:val="00B87886"/>
    <w:rsid w:val="00BA1348"/>
    <w:rsid w:val="00BA7A98"/>
    <w:rsid w:val="00BC7D49"/>
    <w:rsid w:val="00BD2C25"/>
    <w:rsid w:val="00BD4FD1"/>
    <w:rsid w:val="00BE7CFF"/>
    <w:rsid w:val="00BF2735"/>
    <w:rsid w:val="00BF4092"/>
    <w:rsid w:val="00BF7AEE"/>
    <w:rsid w:val="00C018B3"/>
    <w:rsid w:val="00C057F9"/>
    <w:rsid w:val="00C357F6"/>
    <w:rsid w:val="00C359A2"/>
    <w:rsid w:val="00C37AD5"/>
    <w:rsid w:val="00C50253"/>
    <w:rsid w:val="00C711BA"/>
    <w:rsid w:val="00C75EE0"/>
    <w:rsid w:val="00C82E11"/>
    <w:rsid w:val="00C9146C"/>
    <w:rsid w:val="00C95134"/>
    <w:rsid w:val="00C97E37"/>
    <w:rsid w:val="00CA7665"/>
    <w:rsid w:val="00CB5D8A"/>
    <w:rsid w:val="00CE4A0B"/>
    <w:rsid w:val="00CF058D"/>
    <w:rsid w:val="00D12BA3"/>
    <w:rsid w:val="00D14923"/>
    <w:rsid w:val="00D14D33"/>
    <w:rsid w:val="00D20880"/>
    <w:rsid w:val="00D2202F"/>
    <w:rsid w:val="00D32177"/>
    <w:rsid w:val="00D3425D"/>
    <w:rsid w:val="00D464C5"/>
    <w:rsid w:val="00D56D5A"/>
    <w:rsid w:val="00D60082"/>
    <w:rsid w:val="00D63398"/>
    <w:rsid w:val="00D8453E"/>
    <w:rsid w:val="00D8610D"/>
    <w:rsid w:val="00D91928"/>
    <w:rsid w:val="00D93A9E"/>
    <w:rsid w:val="00DA05CD"/>
    <w:rsid w:val="00DA1482"/>
    <w:rsid w:val="00DC771C"/>
    <w:rsid w:val="00DE088D"/>
    <w:rsid w:val="00DE4DDF"/>
    <w:rsid w:val="00DE6B19"/>
    <w:rsid w:val="00E01757"/>
    <w:rsid w:val="00E164D8"/>
    <w:rsid w:val="00E23D27"/>
    <w:rsid w:val="00E37F09"/>
    <w:rsid w:val="00E4149A"/>
    <w:rsid w:val="00E54CC4"/>
    <w:rsid w:val="00E54EC2"/>
    <w:rsid w:val="00E566EA"/>
    <w:rsid w:val="00E7682E"/>
    <w:rsid w:val="00E80AB9"/>
    <w:rsid w:val="00EA3BB4"/>
    <w:rsid w:val="00EA5E0F"/>
    <w:rsid w:val="00EB3BBA"/>
    <w:rsid w:val="00EB4CD3"/>
    <w:rsid w:val="00EE21DE"/>
    <w:rsid w:val="00EE25BA"/>
    <w:rsid w:val="00EE4CED"/>
    <w:rsid w:val="00EE5067"/>
    <w:rsid w:val="00EE554A"/>
    <w:rsid w:val="00EE5741"/>
    <w:rsid w:val="00EF75CD"/>
    <w:rsid w:val="00F00D45"/>
    <w:rsid w:val="00F02ED4"/>
    <w:rsid w:val="00F132E4"/>
    <w:rsid w:val="00F15D10"/>
    <w:rsid w:val="00F16E3C"/>
    <w:rsid w:val="00F24AF3"/>
    <w:rsid w:val="00F25C28"/>
    <w:rsid w:val="00F2751C"/>
    <w:rsid w:val="00F3017F"/>
    <w:rsid w:val="00F35F85"/>
    <w:rsid w:val="00F47EAB"/>
    <w:rsid w:val="00F654B6"/>
    <w:rsid w:val="00F65D8D"/>
    <w:rsid w:val="00F93679"/>
    <w:rsid w:val="00FA695A"/>
    <w:rsid w:val="00FB3FDC"/>
    <w:rsid w:val="00FB67AF"/>
    <w:rsid w:val="00FB7CDB"/>
    <w:rsid w:val="00FD1BAE"/>
    <w:rsid w:val="00FD226B"/>
    <w:rsid w:val="00FE7F83"/>
    <w:rsid w:val="04A904B5"/>
    <w:rsid w:val="075F5AF2"/>
    <w:rsid w:val="0D89042A"/>
    <w:rsid w:val="0DFA33C8"/>
    <w:rsid w:val="1306629C"/>
    <w:rsid w:val="15257CB9"/>
    <w:rsid w:val="1DF12183"/>
    <w:rsid w:val="20BF40BC"/>
    <w:rsid w:val="242B73DF"/>
    <w:rsid w:val="2CA976B8"/>
    <w:rsid w:val="2DFC1003"/>
    <w:rsid w:val="2E087521"/>
    <w:rsid w:val="300F68BF"/>
    <w:rsid w:val="356D6D1A"/>
    <w:rsid w:val="358B1EC7"/>
    <w:rsid w:val="38BE425C"/>
    <w:rsid w:val="3B7212A5"/>
    <w:rsid w:val="40AE5DDA"/>
    <w:rsid w:val="49920C6C"/>
    <w:rsid w:val="4EDF2FCC"/>
    <w:rsid w:val="5ACA56D2"/>
    <w:rsid w:val="651C50F4"/>
    <w:rsid w:val="6840462F"/>
    <w:rsid w:val="68B514C6"/>
    <w:rsid w:val="6F7C7052"/>
    <w:rsid w:val="75CA0BBC"/>
    <w:rsid w:val="77C026BB"/>
    <w:rsid w:val="78093AE3"/>
    <w:rsid w:val="7A1307A0"/>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7"/>
    <w:unhideWhenUsed/>
    <w:qFormat/>
    <w:uiPriority w:val="99"/>
    <w:pPr>
      <w:ind w:left="100" w:leftChars="2500"/>
    </w:pPr>
  </w:style>
  <w:style w:type="paragraph" w:styleId="3">
    <w:name w:val="endnote text"/>
    <w:basedOn w:val="1"/>
    <w:link w:val="18"/>
    <w:qFormat/>
    <w:uiPriority w:val="99"/>
    <w:pPr>
      <w:snapToGrid w:val="0"/>
      <w:spacing w:line="590" w:lineRule="exact"/>
      <w:ind w:firstLine="800" w:firstLineChars="200"/>
      <w:jc w:val="left"/>
    </w:pPr>
    <w:rPr>
      <w:rFonts w:ascii="Calibri" w:hAnsi="Calibri"/>
      <w:szCs w:val="24"/>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szCs w:val="24"/>
    </w:rPr>
  </w:style>
  <w:style w:type="paragraph" w:styleId="7">
    <w:name w:val="Title"/>
    <w:basedOn w:val="1"/>
    <w:next w:val="1"/>
    <w:link w:val="12"/>
    <w:qFormat/>
    <w:uiPriority w:val="99"/>
    <w:pPr>
      <w:spacing w:before="240" w:after="60"/>
      <w:jc w:val="center"/>
      <w:outlineLvl w:val="0"/>
    </w:pPr>
    <w:rPr>
      <w:rFonts w:ascii="Cambria" w:hAnsi="Cambria" w:cs="Cambria"/>
      <w:b/>
      <w:bCs/>
      <w:sz w:val="32"/>
      <w:szCs w:val="32"/>
    </w:rPr>
  </w:style>
  <w:style w:type="character" w:styleId="9">
    <w:name w:val="page number"/>
    <w:basedOn w:val="8"/>
    <w:qFormat/>
    <w:uiPriority w:val="99"/>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Char"/>
    <w:basedOn w:val="8"/>
    <w:link w:val="7"/>
    <w:qFormat/>
    <w:locked/>
    <w:uiPriority w:val="99"/>
    <w:rPr>
      <w:rFonts w:ascii="Cambria" w:hAnsi="Cambria" w:eastAsia="宋体" w:cs="Cambria"/>
      <w:b/>
      <w:bCs/>
      <w:sz w:val="32"/>
      <w:szCs w:val="32"/>
    </w:rPr>
  </w:style>
  <w:style w:type="character" w:customStyle="1" w:styleId="13">
    <w:name w:val="页眉 Char"/>
    <w:basedOn w:val="8"/>
    <w:link w:val="5"/>
    <w:semiHidden/>
    <w:qFormat/>
    <w:locked/>
    <w:uiPriority w:val="99"/>
    <w:rPr>
      <w:rFonts w:ascii="Times New Roman" w:hAnsi="Times New Roman" w:eastAsia="宋体" w:cs="Times New Roman"/>
      <w:sz w:val="18"/>
      <w:szCs w:val="18"/>
    </w:rPr>
  </w:style>
  <w:style w:type="character" w:customStyle="1" w:styleId="14">
    <w:name w:val="页脚 Char"/>
    <w:basedOn w:val="8"/>
    <w:link w:val="4"/>
    <w:semiHidden/>
    <w:qFormat/>
    <w:locked/>
    <w:uiPriority w:val="99"/>
    <w:rPr>
      <w:rFonts w:ascii="Times New Roman" w:hAnsi="Times New Roman" w:eastAsia="宋体" w:cs="Times New Roman"/>
      <w:sz w:val="18"/>
      <w:szCs w:val="18"/>
    </w:rPr>
  </w:style>
  <w:style w:type="paragraph" w:customStyle="1" w:styleId="15">
    <w:name w:val="列出段落1"/>
    <w:basedOn w:val="1"/>
    <w:qFormat/>
    <w:uiPriority w:val="99"/>
    <w:pPr>
      <w:ind w:firstLine="420" w:firstLineChars="200"/>
    </w:pPr>
  </w:style>
  <w:style w:type="character" w:customStyle="1" w:styleId="16">
    <w:name w:val="16"/>
    <w:basedOn w:val="8"/>
    <w:qFormat/>
    <w:uiPriority w:val="0"/>
    <w:rPr>
      <w:rFonts w:hint="default" w:ascii="Times New Roman" w:hAnsi="Times New Roman" w:cs="Times New Roman"/>
    </w:rPr>
  </w:style>
  <w:style w:type="character" w:customStyle="1" w:styleId="17">
    <w:name w:val="日期 Char"/>
    <w:basedOn w:val="8"/>
    <w:link w:val="2"/>
    <w:semiHidden/>
    <w:uiPriority w:val="99"/>
    <w:rPr>
      <w:kern w:val="2"/>
      <w:sz w:val="21"/>
      <w:szCs w:val="21"/>
    </w:rPr>
  </w:style>
  <w:style w:type="character" w:customStyle="1" w:styleId="18">
    <w:name w:val="尾注文本 Char"/>
    <w:basedOn w:val="8"/>
    <w:link w:val="3"/>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C2A46-EA06-4FA5-932C-9828E2F248C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4938</Words>
  <Characters>405</Characters>
  <Lines>3</Lines>
  <Paragraphs>10</Paragraphs>
  <TotalTime>0</TotalTime>
  <ScaleCrop>false</ScaleCrop>
  <LinksUpToDate>false</LinksUpToDate>
  <CharactersWithSpaces>5333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2017-05-17T01:46:00Z</dcterms:created>
  <dc:creator>lenovo</dc:creator>
  <cp:lastModifiedBy>123</cp:lastModifiedBy>
  <cp:lastPrinted>2024-03-27T03:09:00Z</cp:lastPrinted>
  <dcterms:modified xsi:type="dcterms:W3CDTF">2025-02-25T05:18:19Z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