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A26D">
      <w:pPr>
        <w:spacing w:line="56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关于《衡阳市烟草专卖零售许可证办理排队轮候制度》起草说明</w:t>
      </w:r>
    </w:p>
    <w:p w14:paraId="48E077F0">
      <w:pPr>
        <w:spacing w:line="560" w:lineRule="exact"/>
        <w:jc w:val="center"/>
        <w:rPr>
          <w:rFonts w:ascii="方正小标宋简体" w:eastAsia="方正小标宋简体" w:cs="方正小标宋简体"/>
          <w:color w:val="000000"/>
          <w:sz w:val="44"/>
          <w:szCs w:val="44"/>
        </w:rPr>
      </w:pPr>
    </w:p>
    <w:p w14:paraId="1947C8FE">
      <w:pPr>
        <w:spacing w:line="600" w:lineRule="exact"/>
        <w:ind w:firstLine="640" w:firstLineChars="200"/>
        <w:rPr>
          <w:rFonts w:ascii="仿宋_GB2312" w:cs="宋体"/>
          <w:color w:val="000000"/>
          <w:szCs w:val="32"/>
        </w:rPr>
      </w:pPr>
      <w:r>
        <w:rPr>
          <w:rFonts w:hint="eastAsia" w:ascii="仿宋_GB2312" w:cs="宋体"/>
          <w:color w:val="000000"/>
          <w:szCs w:val="32"/>
        </w:rPr>
        <w:t>国家烟草专卖局于2024年上半年出台了</w:t>
      </w:r>
      <w:r>
        <w:rPr>
          <w:rFonts w:hint="eastAsia" w:ascii="仿宋_GB2312" w:cs="仿宋_GB2312"/>
          <w:szCs w:val="32"/>
          <w:shd w:val="clear" w:color="auto" w:fill="FFFFFF"/>
        </w:rPr>
        <w:t>《国家烟草专卖局关于印发完善烟草专卖零售许可管理优化政务服务工作指引的通知》（国烟法〔2024〕55号），其中</w:t>
      </w:r>
      <w:r>
        <w:rPr>
          <w:rFonts w:hint="eastAsia" w:ascii="仿宋_GB2312" w:cs="宋体"/>
          <w:color w:val="000000"/>
          <w:szCs w:val="32"/>
        </w:rPr>
        <w:t>明确指出，鼓励实行烟草专卖零售许可证数量管理的地区根据当地实际，完善排队轮候配套措施。衡阳市烟草专卖局贯彻落实上级要求，结合辖区市场实际，起草</w:t>
      </w:r>
      <w:r>
        <w:rPr>
          <w:rFonts w:hint="eastAsia" w:ascii="仿宋_GB2312"/>
          <w:szCs w:val="32"/>
        </w:rPr>
        <w:t>《衡阳市烟草专卖零售许可证办理轮候制度》</w:t>
      </w:r>
      <w:r>
        <w:rPr>
          <w:rFonts w:hint="eastAsia" w:ascii="仿宋_GB2312" w:cs="宋体"/>
          <w:color w:val="000000"/>
          <w:szCs w:val="32"/>
        </w:rPr>
        <w:t>，现就有关情况说明如下：</w:t>
      </w:r>
    </w:p>
    <w:p w14:paraId="12261C46">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一、起草背景</w:t>
      </w:r>
    </w:p>
    <w:p w14:paraId="2161F565">
      <w:pPr>
        <w:spacing w:line="600" w:lineRule="exact"/>
        <w:ind w:firstLine="640" w:firstLineChars="200"/>
        <w:rPr>
          <w:rFonts w:ascii="仿宋_GB2312" w:cs="宋体"/>
          <w:color w:val="000000"/>
          <w:szCs w:val="32"/>
        </w:rPr>
      </w:pPr>
      <w:r>
        <w:rPr>
          <w:rFonts w:hint="eastAsia" w:ascii="仿宋_GB2312" w:cs="宋体"/>
          <w:color w:val="000000"/>
          <w:szCs w:val="32"/>
        </w:rPr>
        <w:t>2023年以来，衡阳市烟草专卖局通过修定《衡阳市烟草制品零售点合理布局管理办法》，在全市实施了分单元片区控制烟草制品零售点数量的布局模式。在优化全市场资源配置、规范卷烟零售市场主体准入、维护卷烟市场秩序方面发挥了重要作用。在该模式下，大部分单元片区呈现零售点总体饱和，且“有进有退，动态平衡”的较好状态。但与此同时，有限的零售点规划数量与群众强烈的办证需求之间的矛盾仍然存在。基于此种情况，我们需要采用一个群众认可、技术可行的方法来保障零售点许可准入退出有序、公开、公正进行。</w:t>
      </w:r>
    </w:p>
    <w:p w14:paraId="3C7B5D17">
      <w:pPr>
        <w:spacing w:line="600" w:lineRule="exact"/>
        <w:ind w:firstLine="640" w:firstLineChars="200"/>
        <w:rPr>
          <w:rFonts w:ascii="仿宋_GB2312" w:cs="宋体"/>
          <w:color w:val="000000"/>
          <w:szCs w:val="32"/>
        </w:rPr>
      </w:pPr>
      <w:r>
        <w:rPr>
          <w:rFonts w:hint="eastAsia" w:ascii="仿宋_GB2312" w:cs="宋体"/>
          <w:color w:val="000000"/>
          <w:szCs w:val="32"/>
        </w:rPr>
        <w:t>2024年，国家烟草专卖局发布工作指引，鼓励完善排队轮候配套措施。湖南省烟草专卖局将持续优化许可轮候机制列入年度重点工作内容。衡阳市烟草专卖局在科学评估修订合理布局规划，进一步精准调控市场合理容量的基础上，学习借鉴广东、浙江等行业先进单位做法，制定</w:t>
      </w:r>
      <w:r>
        <w:rPr>
          <w:rFonts w:hint="eastAsia" w:ascii="仿宋_GB2312"/>
          <w:szCs w:val="32"/>
        </w:rPr>
        <w:t>《衡阳市烟草专卖零售许可证办理排队轮候制度》，科学合理设置</w:t>
      </w:r>
      <w:r>
        <w:rPr>
          <w:rFonts w:hint="eastAsia" w:ascii="仿宋_GB2312" w:cs="宋体"/>
          <w:color w:val="000000"/>
          <w:szCs w:val="32"/>
        </w:rPr>
        <w:t>排队轮候流程、规则的同时，充分运用信息化手段，让办证群众全面了解市场网格单元饱和信息，正确评估办证预期，保障办理全过程公开公平公正。总之，起草制定</w:t>
      </w:r>
      <w:r>
        <w:rPr>
          <w:rFonts w:hint="eastAsia" w:ascii="仿宋_GB2312"/>
          <w:szCs w:val="32"/>
        </w:rPr>
        <w:t>《衡阳市烟草专卖零售许可证办理排队轮候制度》</w:t>
      </w:r>
      <w:r>
        <w:rPr>
          <w:rFonts w:hint="eastAsia" w:ascii="仿宋_GB2312" w:cs="宋体"/>
          <w:color w:val="000000"/>
          <w:szCs w:val="32"/>
        </w:rPr>
        <w:t>是不断深化“放管服”改革，提升为民服务水平的具体实践，也是贯彻落实国家烟草专卖局、湖南省烟草专卖局相关工作要求，保障行政许可工作有力有序的重要举措。</w:t>
      </w:r>
    </w:p>
    <w:p w14:paraId="27FC7358">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二、政策依据</w:t>
      </w:r>
    </w:p>
    <w:p w14:paraId="6BCB3AD0">
      <w:pPr>
        <w:spacing w:line="600" w:lineRule="exact"/>
        <w:ind w:firstLine="640" w:firstLineChars="200"/>
        <w:rPr>
          <w:rFonts w:ascii="仿宋_GB2312" w:cs="宋体"/>
          <w:color w:val="000000"/>
          <w:szCs w:val="32"/>
        </w:rPr>
      </w:pPr>
      <w:r>
        <w:rPr>
          <w:rFonts w:hint="eastAsia" w:ascii="仿宋_GB2312" w:cs="宋体"/>
          <w:color w:val="000000"/>
          <w:szCs w:val="32"/>
        </w:rPr>
        <w:t>1.《中华人民共和国行政许可法》，自2004年7月1日起施行。 根据2019年4月23日第十三届全国人民代表大会常务委员会第十次会议《关于修改《中华人民共和国建筑法》等八部法律的决定》修正）。</w:t>
      </w:r>
    </w:p>
    <w:p w14:paraId="6CB63EF4">
      <w:pPr>
        <w:spacing w:line="600" w:lineRule="exact"/>
        <w:ind w:firstLine="640" w:firstLineChars="200"/>
        <w:rPr>
          <w:rFonts w:ascii="仿宋_GB2312" w:cs="宋体"/>
          <w:color w:val="000000"/>
          <w:szCs w:val="32"/>
        </w:rPr>
      </w:pPr>
      <w:r>
        <w:rPr>
          <w:rFonts w:hint="eastAsia" w:ascii="仿宋_GB2312" w:cs="宋体"/>
          <w:color w:val="000000"/>
          <w:szCs w:val="32"/>
        </w:rPr>
        <w:t>2.</w:t>
      </w:r>
      <w:r>
        <w:rPr>
          <w:rFonts w:hint="eastAsia" w:ascii="仿宋_GB2312" w:cs="宋体"/>
          <w:color w:val="000000"/>
          <w:szCs w:val="32"/>
          <w:lang w:eastAsia="zh-CN"/>
        </w:rPr>
        <w:t>《中华人民共和国烟草专卖法》</w:t>
      </w:r>
      <w:r>
        <w:rPr>
          <w:rFonts w:hint="eastAsia" w:ascii="仿宋_GB2312" w:cs="宋体"/>
          <w:color w:val="000000"/>
          <w:szCs w:val="32"/>
        </w:rPr>
        <w:t xml:space="preserve"> 根</w:t>
      </w:r>
      <w:bookmarkStart w:id="0" w:name="_GoBack"/>
      <w:bookmarkEnd w:id="0"/>
      <w:r>
        <w:rPr>
          <w:rFonts w:hint="eastAsia" w:ascii="仿宋_GB2312" w:cs="宋体"/>
          <w:color w:val="000000"/>
          <w:szCs w:val="32"/>
        </w:rPr>
        <w:t>据2015年4月24日第十二届全国人民代表大会常务委员会第十四次会议《全国人民代表大会常务委员会关于修改&lt;中华人民共和国计量法&gt;等五部法律的决定》第三次修正。</w:t>
      </w:r>
    </w:p>
    <w:p w14:paraId="6575BD6D">
      <w:pPr>
        <w:spacing w:line="600" w:lineRule="exact"/>
        <w:ind w:firstLine="640" w:firstLineChars="200"/>
        <w:rPr>
          <w:rFonts w:ascii="仿宋_GB2312" w:cs="宋体"/>
          <w:color w:val="000000"/>
          <w:szCs w:val="32"/>
        </w:rPr>
      </w:pPr>
      <w:r>
        <w:rPr>
          <w:rFonts w:hint="eastAsia" w:ascii="仿宋_GB2312" w:cs="宋体"/>
          <w:color w:val="000000"/>
          <w:szCs w:val="32"/>
        </w:rPr>
        <w:t>3.《烟草专卖法实施条例》</w:t>
      </w:r>
      <w:r>
        <w:rPr>
          <w:rFonts w:ascii="Lucida Sans" w:hAnsi="Lucida Sans" w:cs="宋体"/>
          <w:color w:val="000000"/>
          <w:szCs w:val="32"/>
        </w:rPr>
        <w:t xml:space="preserve"> </w:t>
      </w:r>
      <w:r>
        <w:rPr>
          <w:rFonts w:hint="eastAsia" w:ascii="仿宋_GB2312" w:cs="宋体"/>
          <w:color w:val="000000"/>
          <w:szCs w:val="32"/>
        </w:rPr>
        <w:t>根据2021年11月10日《国务院关于修改&lt;中华人民共和国烟草专卖法实施条例&gt;的决定》第三次修订。</w:t>
      </w:r>
    </w:p>
    <w:p w14:paraId="463A5CEA">
      <w:pPr>
        <w:spacing w:line="600" w:lineRule="exact"/>
        <w:ind w:firstLine="640" w:firstLineChars="200"/>
        <w:rPr>
          <w:rFonts w:ascii="仿宋_GB2312" w:cs="宋体"/>
          <w:color w:val="000000"/>
          <w:szCs w:val="32"/>
        </w:rPr>
      </w:pPr>
      <w:r>
        <w:rPr>
          <w:rFonts w:hint="eastAsia" w:ascii="仿宋_GB2312" w:cs="宋体"/>
          <w:color w:val="000000"/>
          <w:szCs w:val="32"/>
        </w:rPr>
        <w:t>4.《烟草专卖许可证管理办法》 中华人民共和国工业和信息化部令第37号，2016年7月20日起施行。</w:t>
      </w:r>
    </w:p>
    <w:p w14:paraId="3B1278FC">
      <w:pPr>
        <w:spacing w:line="600" w:lineRule="exact"/>
        <w:ind w:firstLine="640" w:firstLineChars="200"/>
        <w:rPr>
          <w:rFonts w:ascii="仿宋_GB2312" w:cs="宋体"/>
          <w:color w:val="000000"/>
          <w:szCs w:val="32"/>
        </w:rPr>
      </w:pPr>
      <w:r>
        <w:rPr>
          <w:rFonts w:hint="eastAsia" w:ascii="仿宋_GB2312" w:cs="宋体"/>
          <w:color w:val="000000"/>
          <w:szCs w:val="32"/>
        </w:rPr>
        <w:t>5.《烟草专卖许可证管理办法实施细则》（国烟法〔2020〕205号 ），2021年3月31日起实施，国家烟草专卖局发布。</w:t>
      </w:r>
    </w:p>
    <w:p w14:paraId="0C4BEE7C">
      <w:pPr>
        <w:spacing w:line="600" w:lineRule="exact"/>
        <w:ind w:firstLine="640" w:firstLineChars="200"/>
      </w:pPr>
      <w:r>
        <w:rPr>
          <w:rFonts w:hint="eastAsia" w:ascii="仿宋_GB2312" w:cs="宋体"/>
          <w:color w:val="000000"/>
          <w:szCs w:val="32"/>
        </w:rPr>
        <w:t>6.</w:t>
      </w:r>
      <w:r>
        <w:rPr>
          <w:rFonts w:hint="eastAsia"/>
        </w:rPr>
        <w:t>《国家烟草专卖局关于印发完善烟草专卖零售许可管理优化政务服务工作指引的通知》</w:t>
      </w:r>
      <w:r>
        <w:rPr>
          <w:rFonts w:hint="eastAsia" w:ascii="仿宋_GB2312" w:cs="宋体"/>
          <w:color w:val="000000"/>
          <w:szCs w:val="32"/>
        </w:rPr>
        <w:t>（国烟法〔2024〕55号 ）</w:t>
      </w:r>
      <w:r>
        <w:rPr>
          <w:rFonts w:hint="eastAsia"/>
        </w:rPr>
        <w:t xml:space="preserve"> </w:t>
      </w:r>
    </w:p>
    <w:p w14:paraId="5756B1AA">
      <w:pPr>
        <w:spacing w:line="600" w:lineRule="exact"/>
        <w:rPr>
          <w:rFonts w:ascii="仿宋_GB2312" w:cs="宋体"/>
          <w:color w:val="000000"/>
          <w:szCs w:val="32"/>
        </w:rPr>
      </w:pPr>
      <w:r>
        <w:rPr>
          <w:rFonts w:hint="eastAsia" w:ascii="仿宋_GB2312" w:cs="宋体"/>
          <w:color w:val="000000"/>
          <w:szCs w:val="32"/>
        </w:rPr>
        <w:t>2024年3月27</w:t>
      </w:r>
      <w:r>
        <w:rPr>
          <w:rFonts w:hint="eastAsia"/>
        </w:rPr>
        <w:t>日实施，</w:t>
      </w:r>
      <w:r>
        <w:rPr>
          <w:rFonts w:hint="eastAsia" w:ascii="仿宋_GB2312" w:cs="宋体"/>
          <w:color w:val="000000"/>
          <w:szCs w:val="32"/>
        </w:rPr>
        <w:t>国家烟草专卖局发布。</w:t>
      </w:r>
    </w:p>
    <w:p w14:paraId="66632E41">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三、主要内容</w:t>
      </w:r>
    </w:p>
    <w:p w14:paraId="5CD07DD5">
      <w:pPr>
        <w:spacing w:line="600" w:lineRule="exact"/>
        <w:ind w:firstLine="640" w:firstLineChars="200"/>
      </w:pPr>
      <w:r>
        <w:rPr>
          <w:rFonts w:hint="eastAsia"/>
        </w:rPr>
        <w:t>《衡阳市烟草专卖零售许可证办理排队轮候制度》共十八条及3个附件。</w:t>
      </w:r>
    </w:p>
    <w:p w14:paraId="5C99EB7B">
      <w:pPr>
        <w:spacing w:line="600" w:lineRule="exact"/>
        <w:ind w:firstLine="640" w:firstLineChars="200"/>
      </w:pPr>
      <w:r>
        <w:rPr>
          <w:rFonts w:hint="eastAsia"/>
        </w:rPr>
        <w:t>第一至第五条，主要是明确制订目的和具体依据，明确总体原则、适用范围等基本要素，对“排队轮候制度”“饱和区”“不饱和区”等有关术语进行解释说明。</w:t>
      </w:r>
    </w:p>
    <w:p w14:paraId="0B20DA30">
      <w:pPr>
        <w:spacing w:line="600" w:lineRule="exact"/>
        <w:ind w:firstLine="640" w:firstLineChars="200"/>
      </w:pPr>
      <w:r>
        <w:rPr>
          <w:rFonts w:hint="eastAsia"/>
        </w:rPr>
        <w:t>第六条明确了</w:t>
      </w:r>
      <w:r>
        <w:t>申请排队轮候需要提交的资料和相关注意事项</w:t>
      </w:r>
      <w:r>
        <w:rPr>
          <w:rFonts w:hint="eastAsia"/>
        </w:rPr>
        <w:t>；第七条规定了排队轮候的顺序规则，即按照申请排队先后顺序排队进行轮候</w:t>
      </w:r>
      <w:r>
        <w:t>；</w:t>
      </w:r>
      <w:r>
        <w:rPr>
          <w:rFonts w:hint="eastAsia"/>
        </w:rPr>
        <w:t>第八条</w:t>
      </w:r>
      <w:r>
        <w:t>明确轮候情况的查询途径；</w:t>
      </w:r>
      <w:r>
        <w:rPr>
          <w:rFonts w:hint="eastAsia"/>
        </w:rPr>
        <w:t>第九条规定了</w:t>
      </w:r>
      <w:r>
        <w:t>已</w:t>
      </w:r>
      <w:r>
        <w:rPr>
          <w:rFonts w:hint="eastAsia"/>
        </w:rPr>
        <w:t>纳入排队轮候的</w:t>
      </w:r>
      <w:r>
        <w:t>申请人变更申请信息的方法和要求</w:t>
      </w:r>
      <w:r>
        <w:rPr>
          <w:rFonts w:hint="eastAsia"/>
        </w:rPr>
        <w:t>。</w:t>
      </w:r>
    </w:p>
    <w:p w14:paraId="3720A95A">
      <w:pPr>
        <w:spacing w:line="600" w:lineRule="exact"/>
        <w:ind w:firstLine="640" w:firstLineChars="200"/>
      </w:pPr>
      <w:r>
        <w:rPr>
          <w:rFonts w:hint="eastAsia"/>
        </w:rPr>
        <w:t>第十至第十一条，规定了排队到号通知办证的流程、过号的处理规则。明确了3个工作日的通知到号以及通知到号后3个工作日内申请人需提交申请的时限要求以及逾期后果。明确了轮候办理的具体</w:t>
      </w:r>
      <w:r>
        <w:t>要求</w:t>
      </w:r>
      <w:r>
        <w:rPr>
          <w:rFonts w:hint="eastAsia"/>
        </w:rPr>
        <w:t>。</w:t>
      </w:r>
    </w:p>
    <w:p w14:paraId="6DD8451B">
      <w:pPr>
        <w:spacing w:line="600" w:lineRule="exact"/>
        <w:ind w:firstLine="640" w:firstLineChars="200"/>
      </w:pPr>
      <w:r>
        <w:rPr>
          <w:rFonts w:hint="eastAsia"/>
        </w:rPr>
        <w:t>第十二条规定了</w:t>
      </w:r>
      <w:r>
        <w:t>轮候退出的几种情形，即</w:t>
      </w:r>
      <w:r>
        <w:rPr>
          <w:rFonts w:hint="eastAsia"/>
        </w:rPr>
        <w:t>自愿退出</w:t>
      </w:r>
      <w:r>
        <w:t>、</w:t>
      </w:r>
      <w:r>
        <w:rPr>
          <w:rFonts w:hint="eastAsia"/>
        </w:rPr>
        <w:t>无法联系到申请人</w:t>
      </w:r>
      <w:r>
        <w:t>、</w:t>
      </w:r>
      <w:r>
        <w:rPr>
          <w:rFonts w:hint="eastAsia"/>
        </w:rPr>
        <w:t>未</w:t>
      </w:r>
      <w:r>
        <w:t>按时</w:t>
      </w:r>
      <w:r>
        <w:rPr>
          <w:rFonts w:hint="eastAsia"/>
        </w:rPr>
        <w:t>提交新办申请</w:t>
      </w:r>
      <w:r>
        <w:t>、申请</w:t>
      </w:r>
      <w:r>
        <w:rPr>
          <w:rFonts w:hint="eastAsia"/>
        </w:rPr>
        <w:t>信息不符</w:t>
      </w:r>
      <w:r>
        <w:t>等，以及退出轮候的相应后果。</w:t>
      </w:r>
    </w:p>
    <w:p w14:paraId="5F45BC76">
      <w:pPr>
        <w:spacing w:line="600" w:lineRule="exact"/>
        <w:ind w:firstLine="640" w:firstLineChars="200"/>
      </w:pPr>
      <w:r>
        <w:rPr>
          <w:rFonts w:hint="eastAsia"/>
        </w:rPr>
        <w:t>第十三条明确同一经营地址重复申请排队的编号规则</w:t>
      </w:r>
      <w:r>
        <w:t>。</w:t>
      </w:r>
      <w:r>
        <w:rPr>
          <w:rFonts w:hint="eastAsia"/>
        </w:rPr>
        <w:t>规避排队轮候过程可能影响正常排队顺序规则的异常情况。</w:t>
      </w:r>
    </w:p>
    <w:p w14:paraId="73692776">
      <w:pPr>
        <w:spacing w:line="600" w:lineRule="exact"/>
        <w:ind w:firstLine="640" w:firstLineChars="200"/>
      </w:pPr>
      <w:r>
        <w:rPr>
          <w:rFonts w:hint="eastAsia"/>
        </w:rPr>
        <w:t>第十四至第十六条规定对于排队轮候制度的监督检查要求</w:t>
      </w:r>
      <w:r>
        <w:t>，防范违法违规</w:t>
      </w:r>
      <w:r>
        <w:rPr>
          <w:rFonts w:hint="eastAsia"/>
        </w:rPr>
        <w:t>违纪</w:t>
      </w:r>
      <w:r>
        <w:t>行为的发生。</w:t>
      </w:r>
    </w:p>
    <w:p w14:paraId="1C8CEAED">
      <w:pPr>
        <w:spacing w:line="600" w:lineRule="exact"/>
        <w:ind w:firstLine="640" w:firstLineChars="200"/>
      </w:pPr>
      <w:r>
        <w:t>第</w:t>
      </w:r>
      <w:r>
        <w:rPr>
          <w:rFonts w:hint="eastAsia"/>
        </w:rPr>
        <w:t>十七</w:t>
      </w:r>
      <w:r>
        <w:t>条至第</w:t>
      </w:r>
      <w:r>
        <w:rPr>
          <w:rFonts w:hint="eastAsia"/>
        </w:rPr>
        <w:t>十八</w:t>
      </w:r>
      <w:r>
        <w:t>条</w:t>
      </w:r>
      <w:r>
        <w:rPr>
          <w:rFonts w:hint="eastAsia"/>
        </w:rPr>
        <w:t>规定</w:t>
      </w:r>
      <w:r>
        <w:t>政策解释方</w:t>
      </w:r>
      <w:r>
        <w:rPr>
          <w:rFonts w:hint="eastAsia"/>
        </w:rPr>
        <w:t>、</w:t>
      </w:r>
      <w:r>
        <w:t>实施时间等内容。</w:t>
      </w:r>
    </w:p>
    <w:p w14:paraId="47B5DF18">
      <w:pPr>
        <w:spacing w:line="600" w:lineRule="exact"/>
        <w:ind w:firstLine="640" w:firstLineChars="200"/>
      </w:pPr>
      <w:r>
        <w:rPr>
          <w:rFonts w:hint="eastAsia"/>
        </w:rPr>
        <w:t>附件内容为申请排队轮候告知书、排队轮候申请书以及排队轮候登记信息变更申请书。</w:t>
      </w:r>
    </w:p>
    <w:p w14:paraId="085D3600">
      <w:pPr>
        <w:spacing w:line="600" w:lineRule="exact"/>
      </w:pPr>
    </w:p>
    <w:p w14:paraId="3C7C2940">
      <w:pPr>
        <w:spacing w:line="600" w:lineRule="exact"/>
        <w:ind w:right="960" w:firstLine="640" w:firstLineChars="200"/>
        <w:jc w:val="right"/>
        <w:rPr>
          <w:rFonts w:ascii="仿宋_GB2312" w:cs="宋体"/>
          <w:color w:val="000000"/>
          <w:szCs w:val="32"/>
        </w:rPr>
      </w:pPr>
      <w:r>
        <w:rPr>
          <w:rFonts w:hint="eastAsia" w:ascii="仿宋_GB2312" w:cs="宋体"/>
          <w:color w:val="000000"/>
          <w:szCs w:val="32"/>
        </w:rPr>
        <w:t>衡阳市烟草专卖局</w:t>
      </w:r>
    </w:p>
    <w:p w14:paraId="675C4D66">
      <w:pPr>
        <w:wordWrap w:val="0"/>
        <w:spacing w:line="600" w:lineRule="exact"/>
        <w:ind w:right="960" w:firstLine="640" w:firstLineChars="200"/>
        <w:jc w:val="right"/>
        <w:rPr>
          <w:rFonts w:ascii="仿宋_GB2312" w:cs="宋体"/>
          <w:color w:val="000000"/>
          <w:szCs w:val="32"/>
        </w:rPr>
      </w:pPr>
      <w:r>
        <w:rPr>
          <w:rFonts w:hint="eastAsia" w:ascii="仿宋_GB2312" w:cs="宋体"/>
          <w:color w:val="000000"/>
          <w:szCs w:val="32"/>
        </w:rPr>
        <w:t>202</w:t>
      </w:r>
      <w:r>
        <w:rPr>
          <w:rFonts w:ascii="仿宋_GB2312" w:cs="宋体"/>
          <w:color w:val="000000"/>
          <w:szCs w:val="32"/>
        </w:rPr>
        <w:t>5</w:t>
      </w:r>
      <w:r>
        <w:rPr>
          <w:rFonts w:hint="eastAsia" w:ascii="仿宋_GB2312" w:cs="宋体"/>
          <w:color w:val="000000"/>
          <w:szCs w:val="32"/>
        </w:rPr>
        <w:t>年9月9日</w:t>
      </w:r>
    </w:p>
    <w:p w14:paraId="32F4A7F4"/>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兰亭黑_GBK">
    <w:altName w:val="微软雅黑"/>
    <w:panose1 w:val="00000000000000000000"/>
    <w:charset w:val="86"/>
    <w:family w:val="script"/>
    <w:pitch w:val="default"/>
    <w:sig w:usb0="00000000" w:usb1="00000000" w:usb2="0008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ABC2">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90425" cy="131433"/>
                      </a:xfrm>
                      <a:prstGeom prst="rect">
                        <a:avLst/>
                      </a:prstGeom>
                      <a:noFill/>
                      <a:ln w="9525" cap="flat" cmpd="sng">
                        <a:noFill/>
                        <a:prstDash val="solid"/>
                        <a:round/>
                      </a:ln>
                    </wps:spPr>
                    <wps:txbx>
                      <w:txbxContent>
                        <w:p w14:paraId="69B729F5">
                          <w:pPr>
                            <w:pStyle w:val="5"/>
                          </w:pPr>
                          <w:r>
                            <w:fldChar w:fldCharType="begin"/>
                          </w:r>
                          <w:r>
                            <w:instrText xml:space="preserve"> PAGE  \* MERGEFORMAT </w:instrText>
                          </w:r>
                          <w:r>
                            <w:fldChar w:fldCharType="separate"/>
                          </w:r>
                          <w:r>
                            <w:t>- 3 -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f7+Z9EAAAADAQAADwAAAAAAAAABACAAAAAiAAAAZHJzL2Rvd25yZXYu&#10;eG1sUEsBAhQAFAAAAAgAh07iQLap4sgCAgAA9AMAAA4AAAAAAAAAAQAgAAAAIAEAAGRycy9lMm9E&#10;b2MueG1sUEsFBgAAAAAGAAYAWQEAAJQFAAAAAA==&#10;">
              <v:fill on="f" focussize="0,0"/>
              <v:stroke on="f" joinstyle="round"/>
              <v:imagedata o:title=""/>
              <o:lock v:ext="edit" aspectratio="f"/>
              <v:textbox inset="0mm,0mm,0mm,0mm" style="mso-fit-shape-to-text:t;">
                <w:txbxContent>
                  <w:p w14:paraId="69B729F5">
                    <w:pPr>
                      <w:pStyle w:val="5"/>
                    </w:pPr>
                    <w:r>
                      <w:fldChar w:fldCharType="begin"/>
                    </w:r>
                    <w:r>
                      <w:instrText xml:space="preserve"> PAGE  \* MERGEFORMAT </w:instrText>
                    </w:r>
                    <w:r>
                      <w:fldChar w:fldCharType="separate"/>
                    </w:r>
                    <w:r>
                      <w:t>- 3 -</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FD5DE2"/>
    <w:rsid w:val="00044AE9"/>
    <w:rsid w:val="00177754"/>
    <w:rsid w:val="002D7FE5"/>
    <w:rsid w:val="00364C93"/>
    <w:rsid w:val="00587682"/>
    <w:rsid w:val="00657EDD"/>
    <w:rsid w:val="006D5367"/>
    <w:rsid w:val="00957135"/>
    <w:rsid w:val="00B479CA"/>
    <w:rsid w:val="00BE3C13"/>
    <w:rsid w:val="00CD0BCB"/>
    <w:rsid w:val="00D65635"/>
    <w:rsid w:val="00D93842"/>
    <w:rsid w:val="00FD5DE2"/>
    <w:rsid w:val="63245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方正兰亭黑_GBK" w:hAnsi="方正兰亭黑_GBK" w:eastAsia="黑体"/>
      <w:b/>
      <w:bCs/>
      <w:szCs w:val="32"/>
    </w:rPr>
  </w:style>
  <w:style w:type="paragraph" w:styleId="4">
    <w:name w:val="heading 3"/>
    <w:basedOn w:val="1"/>
    <w:next w:val="1"/>
    <w:link w:val="10"/>
    <w:qFormat/>
    <w:uiPriority w:val="0"/>
    <w:pPr>
      <w:keepNext/>
      <w:keepLines/>
      <w:spacing w:before="260" w:after="260" w:line="415" w:lineRule="auto"/>
      <w:outlineLvl w:val="2"/>
    </w:pPr>
    <w:rPr>
      <w:b/>
      <w:bCs/>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1 Char"/>
    <w:basedOn w:val="7"/>
    <w:link w:val="2"/>
    <w:uiPriority w:val="0"/>
    <w:rPr>
      <w:rFonts w:ascii="Times New Roman" w:hAnsi="Times New Roman" w:eastAsia="仿宋_GB2312" w:cs="Times New Roman"/>
      <w:b/>
      <w:bCs/>
      <w:kern w:val="44"/>
      <w:sz w:val="44"/>
      <w:szCs w:val="44"/>
      <w:lang w:val="en-US" w:eastAsia="zh-CN" w:bidi="ar-SA"/>
    </w:rPr>
  </w:style>
  <w:style w:type="character" w:customStyle="1" w:styleId="9">
    <w:name w:val="标题 2 Char"/>
    <w:basedOn w:val="7"/>
    <w:link w:val="3"/>
    <w:uiPriority w:val="0"/>
    <w:rPr>
      <w:rFonts w:ascii="方正兰亭黑_GBK" w:hAnsi="方正兰亭黑_GBK" w:eastAsia="黑体" w:cs="Times New Roman"/>
      <w:b/>
      <w:bCs/>
      <w:kern w:val="2"/>
      <w:sz w:val="32"/>
      <w:szCs w:val="32"/>
      <w:lang w:val="en-US" w:eastAsia="zh-CN" w:bidi="ar-SA"/>
    </w:rPr>
  </w:style>
  <w:style w:type="character" w:customStyle="1" w:styleId="10">
    <w:name w:val="标题 3 Char"/>
    <w:basedOn w:val="7"/>
    <w:link w:val="4"/>
    <w:uiPriority w:val="0"/>
    <w:rPr>
      <w:rFonts w:ascii="Times New Roman" w:hAnsi="Times New Roman" w:eastAsia="仿宋_GB2312"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68982-7EAA-4ACD-993F-BEB195B5AF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1685</Words>
  <Characters>1745</Characters>
  <Lines>12</Lines>
  <Paragraphs>3</Paragraphs>
  <TotalTime>5</TotalTime>
  <ScaleCrop>false</ScaleCrop>
  <LinksUpToDate>false</LinksUpToDate>
  <CharactersWithSpaces>1752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2025-09-08T06:45:00Z</dcterms:created>
  <dc:creator>hyyc</dc:creator>
  <cp:lastModifiedBy>邓婷</cp:lastModifiedBy>
  <dcterms:modified xsi:type="dcterms:W3CDTF">2025-09-22T01:50:15Z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eyJoZGlkIjoiYTllNzFiMmVjODlmN2FmNzRkMDU2ZmRlMTI3NzFiMDkiLCJ1c2VySWQiOiIxMDY5MjgzMDcxIn0=</vt:lpwstr>
  </property>
  <property fmtid="{D5CDD505-2E9C-101B-9397-08002B2CF9AE}" pid="4" name="ICV">
    <vt:lpwstr>6FFCB10A55554299A84B4E3C972EBFFE_12</vt:lpwstr>
  </property>
</Properties>
</file>