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CA4FF">
      <w:pPr>
        <w:rPr>
          <w:rFonts w:ascii="Times New Roman" w:hAnsi="Times New Roman" w:eastAsia="黑体"/>
          <w:sz w:val="32"/>
          <w:szCs w:val="32"/>
        </w:rPr>
      </w:pPr>
    </w:p>
    <w:p w14:paraId="7F86D25F">
      <w:pPr>
        <w:rPr>
          <w:rFonts w:ascii="Times New Roman" w:hAnsi="Times New Roman" w:eastAsia="黑体"/>
          <w:sz w:val="32"/>
          <w:szCs w:val="32"/>
        </w:rPr>
      </w:pPr>
    </w:p>
    <w:p w14:paraId="6DCFF056">
      <w:pPr>
        <w:rPr>
          <w:rFonts w:ascii="Times New Roman" w:hAnsi="Times New Roman" w:eastAsia="黑体"/>
          <w:sz w:val="32"/>
          <w:szCs w:val="32"/>
        </w:rPr>
      </w:pPr>
    </w:p>
    <w:p w14:paraId="6FE19C27">
      <w:pPr>
        <w:rPr>
          <w:rFonts w:ascii="Times New Roman" w:hAnsi="Times New Roman" w:eastAsia="黑体"/>
          <w:sz w:val="32"/>
          <w:szCs w:val="32"/>
        </w:rPr>
      </w:pPr>
    </w:p>
    <w:p w14:paraId="26A78AE5">
      <w:pPr>
        <w:rPr>
          <w:rFonts w:ascii="Times New Roman" w:hAnsi="Times New Roman" w:eastAsia="黑体"/>
          <w:sz w:val="32"/>
          <w:szCs w:val="32"/>
        </w:rPr>
      </w:pPr>
    </w:p>
    <w:p w14:paraId="5D8B0BFA">
      <w:pPr>
        <w:jc w:val="center"/>
        <w:rPr>
          <w:rFonts w:ascii="方正小标宋简体" w:hAnsi="Times New Roman" w:eastAsia="方正小标宋简体"/>
          <w:sz w:val="48"/>
          <w:szCs w:val="48"/>
        </w:rPr>
      </w:pPr>
      <w:r>
        <w:rPr>
          <w:rFonts w:hint="eastAsia" w:ascii="方正小标宋简体" w:hAnsi="Times New Roman" w:eastAsia="方正小标宋简体"/>
          <w:sz w:val="48"/>
          <w:szCs w:val="48"/>
          <w:lang w:eastAsia="zh-CN"/>
        </w:rPr>
        <w:t>202</w:t>
      </w:r>
      <w:r>
        <w:rPr>
          <w:rFonts w:hint="eastAsia" w:ascii="方正小标宋简体" w:hAnsi="Times New Roman" w:eastAsia="方正小标宋简体"/>
          <w:sz w:val="48"/>
          <w:szCs w:val="48"/>
          <w:lang w:val="en-US" w:eastAsia="zh-CN"/>
        </w:rPr>
        <w:t>2</w:t>
      </w:r>
      <w:r>
        <w:rPr>
          <w:rFonts w:hint="eastAsia" w:ascii="方正小标宋简体" w:hAnsi="Times New Roman" w:eastAsia="方正小标宋简体"/>
          <w:sz w:val="48"/>
          <w:szCs w:val="48"/>
        </w:rPr>
        <w:t>年度部门整体支出绩效自评报告</w:t>
      </w:r>
    </w:p>
    <w:p w14:paraId="0DB2FDFF">
      <w:pPr>
        <w:jc w:val="center"/>
        <w:rPr>
          <w:rFonts w:ascii="Times New Roman" w:hAnsi="Times New Roman" w:eastAsia="黑体"/>
          <w:sz w:val="32"/>
          <w:szCs w:val="32"/>
        </w:rPr>
      </w:pPr>
    </w:p>
    <w:p w14:paraId="5707C910">
      <w:pPr>
        <w:jc w:val="center"/>
        <w:rPr>
          <w:rFonts w:ascii="Times New Roman" w:hAnsi="Times New Roman" w:eastAsia="黑体"/>
          <w:sz w:val="32"/>
          <w:szCs w:val="32"/>
        </w:rPr>
      </w:pPr>
    </w:p>
    <w:p w14:paraId="742C2AD2">
      <w:pPr>
        <w:jc w:val="center"/>
        <w:rPr>
          <w:rFonts w:ascii="Times New Roman" w:hAnsi="Times New Roman" w:eastAsia="黑体"/>
          <w:sz w:val="32"/>
          <w:szCs w:val="32"/>
        </w:rPr>
      </w:pPr>
      <w:bookmarkStart w:id="0" w:name="_GoBack"/>
      <w:bookmarkEnd w:id="0"/>
    </w:p>
    <w:p w14:paraId="06AF7064">
      <w:pPr>
        <w:jc w:val="center"/>
        <w:rPr>
          <w:rFonts w:ascii="Times New Roman" w:hAnsi="Times New Roman" w:eastAsia="黑体"/>
          <w:sz w:val="32"/>
          <w:szCs w:val="32"/>
        </w:rPr>
      </w:pPr>
    </w:p>
    <w:p w14:paraId="7AB86625">
      <w:pPr>
        <w:jc w:val="center"/>
        <w:rPr>
          <w:rFonts w:ascii="Times New Roman" w:hAnsi="Times New Roman" w:eastAsia="黑体"/>
          <w:sz w:val="32"/>
          <w:szCs w:val="32"/>
        </w:rPr>
      </w:pPr>
    </w:p>
    <w:p w14:paraId="6F3F3638">
      <w:pPr>
        <w:jc w:val="center"/>
        <w:rPr>
          <w:rFonts w:ascii="Times New Roman" w:hAnsi="Times New Roman" w:eastAsia="黑体"/>
          <w:sz w:val="32"/>
          <w:szCs w:val="32"/>
        </w:rPr>
      </w:pPr>
    </w:p>
    <w:p w14:paraId="4A626808">
      <w:pPr>
        <w:rPr>
          <w:rFonts w:ascii="Times New Roman" w:hAnsi="Times New Roman" w:eastAsia="黑体"/>
          <w:sz w:val="32"/>
          <w:szCs w:val="32"/>
        </w:rPr>
      </w:pPr>
    </w:p>
    <w:p w14:paraId="5727676B">
      <w:pPr>
        <w:jc w:val="center"/>
        <w:rPr>
          <w:rFonts w:ascii="Times New Roman" w:hAnsi="Times New Roman" w:eastAsia="黑体"/>
          <w:sz w:val="32"/>
          <w:szCs w:val="32"/>
        </w:rPr>
      </w:pPr>
    </w:p>
    <w:p w14:paraId="79351860">
      <w:pPr>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w:t>
      </w:r>
      <w:r>
        <w:rPr>
          <w:rFonts w:hint="eastAsia" w:ascii="Times New Roman" w:hAnsi="Times New Roman"/>
          <w:sz w:val="36"/>
          <w:szCs w:val="36"/>
          <w:lang w:eastAsia="zh-CN"/>
        </w:rPr>
        <w:t>衡阳市住房保障服务中心</w:t>
      </w:r>
    </w:p>
    <w:p w14:paraId="20805781">
      <w:pPr>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rPr>
        <w:t>主要负责人：</w:t>
      </w:r>
      <w:r>
        <w:rPr>
          <w:rFonts w:hint="eastAsia" w:asciiTheme="minorEastAsia" w:hAnsiTheme="minorEastAsia" w:eastAsiaTheme="minorEastAsia" w:cstheme="minorEastAsia"/>
          <w:sz w:val="36"/>
          <w:szCs w:val="36"/>
          <w:lang w:val="en-US" w:eastAsia="zh-CN"/>
        </w:rPr>
        <w:t>刘建</w:t>
      </w:r>
    </w:p>
    <w:p w14:paraId="0BED4CCA">
      <w:pPr>
        <w:pStyle w:val="2"/>
      </w:pPr>
    </w:p>
    <w:p w14:paraId="32257C59">
      <w:pPr>
        <w:pStyle w:val="2"/>
      </w:pPr>
    </w:p>
    <w:p w14:paraId="74774683">
      <w:pPr>
        <w:jc w:val="center"/>
        <w:rPr>
          <w:rFonts w:ascii="Times New Roman" w:hAnsi="Times New Roman" w:eastAsia="黑体"/>
          <w:sz w:val="32"/>
          <w:szCs w:val="32"/>
        </w:rPr>
      </w:pPr>
      <w:r>
        <w:rPr>
          <w:rFonts w:hint="eastAsia" w:ascii="Times New Roman" w:hAnsi="Times New Roman" w:eastAsia="黑体"/>
          <w:sz w:val="32"/>
          <w:szCs w:val="32"/>
          <w:lang w:val="en-US" w:eastAsia="zh-CN"/>
        </w:rPr>
        <w:t xml:space="preserve">2023 </w:t>
      </w:r>
      <w:r>
        <w:rPr>
          <w:rFonts w:hint="eastAsia" w:ascii="Times New Roman" w:hAnsi="Times New Roman" w:eastAsia="黑体"/>
          <w:sz w:val="32"/>
          <w:szCs w:val="32"/>
        </w:rPr>
        <w:t>年</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4</w:t>
      </w:r>
      <w:r>
        <w:rPr>
          <w:rFonts w:ascii="Times New Roman" w:hAnsi="Times New Roman" w:eastAsia="黑体"/>
          <w:sz w:val="32"/>
          <w:szCs w:val="32"/>
        </w:rPr>
        <w:t xml:space="preserve"> </w:t>
      </w:r>
      <w:r>
        <w:rPr>
          <w:rFonts w:hint="eastAsia" w:ascii="Times New Roman" w:hAnsi="Times New Roman" w:eastAsia="黑体"/>
          <w:sz w:val="32"/>
          <w:szCs w:val="32"/>
        </w:rPr>
        <w:t>月</w:t>
      </w:r>
      <w:r>
        <w:rPr>
          <w:rFonts w:ascii="Times New Roman" w:hAnsi="Times New Roman" w:eastAsia="黑体"/>
          <w:sz w:val="32"/>
          <w:szCs w:val="32"/>
        </w:rPr>
        <w:t xml:space="preserve"> </w:t>
      </w:r>
      <w:r>
        <w:rPr>
          <w:rFonts w:hint="eastAsia" w:ascii="Times New Roman" w:hAnsi="Times New Roman" w:eastAsia="黑体"/>
          <w:sz w:val="32"/>
          <w:szCs w:val="32"/>
          <w:lang w:val="en-US" w:eastAsia="zh-CN"/>
        </w:rPr>
        <w:t>6</w:t>
      </w:r>
      <w:r>
        <w:rPr>
          <w:rFonts w:ascii="Times New Roman" w:hAnsi="Times New Roman" w:eastAsia="黑体"/>
          <w:sz w:val="32"/>
          <w:szCs w:val="32"/>
        </w:rPr>
        <w:t xml:space="preserve"> </w:t>
      </w:r>
      <w:r>
        <w:rPr>
          <w:rFonts w:hint="eastAsia" w:ascii="Times New Roman" w:hAnsi="Times New Roman" w:eastAsia="黑体"/>
          <w:sz w:val="32"/>
          <w:szCs w:val="32"/>
        </w:rPr>
        <w:t>日</w:t>
      </w:r>
    </w:p>
    <w:p w14:paraId="6BAA3191">
      <w:pPr>
        <w:jc w:val="center"/>
        <w:rPr>
          <w:rFonts w:ascii="Times New Roman" w:hAnsi="Times New Roman" w:eastAsia="黑体"/>
          <w:sz w:val="32"/>
          <w:szCs w:val="32"/>
        </w:rPr>
      </w:pPr>
    </w:p>
    <w:p w14:paraId="6EE388BF">
      <w:pPr>
        <w:jc w:val="center"/>
        <w:rPr>
          <w:rFonts w:ascii="Times New Roman" w:hAnsi="Times New Roman" w:eastAsia="黑体"/>
          <w:sz w:val="32"/>
          <w:szCs w:val="32"/>
        </w:rPr>
      </w:pPr>
    </w:p>
    <w:p w14:paraId="56464933">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部门整体支出绩效评价报告</w:t>
      </w:r>
    </w:p>
    <w:p w14:paraId="1B96C85B">
      <w:pPr>
        <w:rPr>
          <w:rFonts w:ascii="Times New Roman" w:hAnsi="Times New Roman" w:eastAsia="方正小标宋_GBK"/>
          <w:sz w:val="32"/>
          <w:szCs w:val="32"/>
        </w:rPr>
      </w:pPr>
    </w:p>
    <w:p w14:paraId="1122BC46">
      <w:pPr>
        <w:pStyle w:val="5"/>
        <w:widowControl/>
        <w:numPr>
          <w:ilvl w:val="0"/>
          <w:numId w:val="1"/>
        </w:numPr>
        <w:ind w:firstLine="640"/>
        <w:rPr>
          <w:rFonts w:hint="eastAsia" w:eastAsia="黑体"/>
          <w:sz w:val="32"/>
          <w:szCs w:val="32"/>
        </w:rPr>
      </w:pPr>
      <w:r>
        <w:rPr>
          <w:rFonts w:hint="eastAsia" w:eastAsia="黑体"/>
          <w:sz w:val="32"/>
          <w:szCs w:val="32"/>
        </w:rPr>
        <w:t>单位基本情况</w:t>
      </w:r>
    </w:p>
    <w:p w14:paraId="27FA2612">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衡阳市住房保障服务中心为市住房</w:t>
      </w:r>
      <w:r>
        <w:rPr>
          <w:rFonts w:hint="eastAsia" w:ascii="仿宋" w:hAnsi="仿宋" w:eastAsia="仿宋" w:cs="仿宋"/>
          <w:sz w:val="32"/>
          <w:szCs w:val="32"/>
          <w:lang w:eastAsia="zh-CN"/>
        </w:rPr>
        <w:t>和</w:t>
      </w:r>
      <w:r>
        <w:rPr>
          <w:rFonts w:hint="eastAsia" w:ascii="仿宋" w:hAnsi="仿宋" w:eastAsia="仿宋" w:cs="仿宋"/>
          <w:sz w:val="32"/>
          <w:szCs w:val="32"/>
        </w:rPr>
        <w:t>城乡建设局所属正处级公益一类事业单位，主要负责城区住房保障和房产市场管理相关事务性工作。本部门主要职责是：</w:t>
      </w:r>
    </w:p>
    <w:p w14:paraId="3C325589">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(一)宣传贯彻住房制度改革、住房保障、房产管理、房地产业、房产市场等相关法律法规和政策，协助拟订相关规划、计划并参与实施。</w:t>
      </w:r>
    </w:p>
    <w:p w14:paraId="3A7023FC">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配合做好全市住房制度改革有关工作。参与拟订并协助实施城区住房制度改革配套方案:协助拟订全市经济适用住房、安居型商品房和公共租赁住房建设规划及年度计划，并参与相关实施工作;协助拟订城市棚户区改造(含国有工矿棚户区改造)规划及年度计划，并参与相关实施工作；协助拟订各类保障性安居工程改造规划、计划，并参与相关实施工作。</w:t>
      </w:r>
    </w:p>
    <w:p w14:paraId="3425DCC2">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负责城区保障性住房相关工作。负责城区租赁型保障性住房(含直管公房)的分配及管理；负责城区保障性住房的动态管理；参与城区保障性住房房源筹措、储备工作；负责城区保障性住房租金收支，物业管理购买服务及配套用房出租等运营管理工作；负责城区政府产权保障性住房及其附属设施的维护和小区设施的配套、维护工作；负责租赁型保障性住房的产权管理工作;配合城区保障性住房安全鉴定工作;参与拟定保障性住房出售价格和租金标准;参与市本级企业公共租赁住房管理工作。</w:t>
      </w:r>
    </w:p>
    <w:p w14:paraId="688EA89C">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负责房地产开发相关服务工作。负责城区房地产开发项目资本金的收缴和解控工作;负责核发《房地产开发项目手册》;负责落实《住宅质量保证书》《住宅使用说明书》制度;参与房地产开发企业违法违规行为的查处工作。</w:t>
      </w:r>
    </w:p>
    <w:p w14:paraId="1AAB40DA">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(五)负责物业行业管理相关事务性工作。参与拟订物业管理办法和措施。配合有关部门拟订物业服务收费标准;协助室内装饰装修行业管理工作。</w:t>
      </w:r>
    </w:p>
    <w:p w14:paraId="4C4DC7CD">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(六)负责城区新建商品房预售资金监管工作。负责《商品房预售资金监管协议书》备案;负责对预售资金监管账户的建档、入账、拨付、使用、销户的实时监控;协助指导县(市)新建商品房预售资金监管业务。</w:t>
      </w:r>
    </w:p>
    <w:p w14:paraId="1C7F396D">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(七)负责房产测绘和城区房屋面积管理工作。负责房产测绘及其成果备案工作;负责城区房屋面积和楼盘表的日常管理工作;协助房地产价格评估工作。</w:t>
      </w:r>
    </w:p>
    <w:p w14:paraId="00820B32">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(八)负责商品房交易相关事务性工作。参与拟订商品房交易监管办法和措施;负责城区新建商品房预(现) 售合同、存量房(二手房)买卖合同、租赁合同、抵押合同的网签备案工作；负责城区新建商品房现售备案、房源核验和房屋(含二手房)交易资金监管工作。</w:t>
      </w:r>
    </w:p>
    <w:p w14:paraId="29C187B9">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(九)负责物业专项维修资金管理服务工作。指导物业专项维修资金的归集、使用等相关业务工作。</w:t>
      </w:r>
    </w:p>
    <w:p w14:paraId="2102B919">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(十)负责白蚁防治管理服务工作。指导城区房屋和园林绿化的白蚁防治、研究等相关业务工作。</w:t>
      </w:r>
    </w:p>
    <w:p w14:paraId="5890FAA9">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(十一)负责中心信息化建设工作公协助住房保障相关信息的收集、共享、交换和公示等工作。</w:t>
      </w:r>
    </w:p>
    <w:p w14:paraId="0A53A298">
      <w:pPr>
        <w:pStyle w:val="5"/>
        <w:widowControl/>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(十二)完成市委、市政府及市住房和城乡建设局交办的其他任务。</w:t>
      </w:r>
    </w:p>
    <w:p w14:paraId="42EF9045">
      <w:pPr>
        <w:pStyle w:val="5"/>
        <w:widowControl/>
        <w:numPr>
          <w:ilvl w:val="0"/>
          <w:numId w:val="0"/>
        </w:numPr>
        <w:ind w:firstLine="640" w:firstLineChars="200"/>
        <w:rPr>
          <w:rFonts w:hint="eastAsia" w:eastAsia="黑体"/>
          <w:sz w:val="32"/>
          <w:szCs w:val="32"/>
        </w:rPr>
      </w:pPr>
      <w:r>
        <w:rPr>
          <w:rFonts w:hint="eastAsia" w:ascii="仿宋" w:hAnsi="仿宋" w:eastAsia="仿宋" w:cs="仿宋"/>
          <w:sz w:val="32"/>
          <w:szCs w:val="32"/>
        </w:rPr>
        <w:t>我单位现有科处室26个，在职人员1</w:t>
      </w:r>
      <w:r>
        <w:rPr>
          <w:rFonts w:hint="eastAsia" w:ascii="仿宋" w:hAnsi="仿宋" w:eastAsia="仿宋" w:cs="仿宋"/>
          <w:sz w:val="32"/>
          <w:szCs w:val="32"/>
          <w:lang w:val="en-US" w:eastAsia="zh-CN"/>
        </w:rPr>
        <w:t>06</w:t>
      </w:r>
      <w:r>
        <w:rPr>
          <w:rFonts w:hint="eastAsia" w:ascii="仿宋" w:hAnsi="仿宋" w:eastAsia="仿宋" w:cs="仿宋"/>
          <w:sz w:val="32"/>
          <w:szCs w:val="32"/>
        </w:rPr>
        <w:t>人，退休人员7</w:t>
      </w:r>
      <w:r>
        <w:rPr>
          <w:rFonts w:hint="eastAsia" w:ascii="仿宋" w:hAnsi="仿宋" w:eastAsia="仿宋" w:cs="仿宋"/>
          <w:sz w:val="32"/>
          <w:szCs w:val="32"/>
          <w:lang w:val="en-US" w:eastAsia="zh-CN"/>
        </w:rPr>
        <w:t>5</w:t>
      </w:r>
      <w:r>
        <w:rPr>
          <w:rFonts w:hint="eastAsia" w:ascii="仿宋" w:hAnsi="仿宋" w:eastAsia="仿宋" w:cs="仿宋"/>
          <w:sz w:val="32"/>
          <w:szCs w:val="32"/>
        </w:rPr>
        <w:t>人，属市</w:t>
      </w:r>
      <w:r>
        <w:rPr>
          <w:rFonts w:hint="eastAsia" w:ascii="仿宋" w:hAnsi="仿宋" w:eastAsia="仿宋" w:cs="仿宋"/>
          <w:sz w:val="32"/>
          <w:szCs w:val="32"/>
          <w:lang w:eastAsia="zh-CN"/>
        </w:rPr>
        <w:t>一</w:t>
      </w:r>
      <w:r>
        <w:rPr>
          <w:rFonts w:hint="eastAsia" w:ascii="仿宋" w:hAnsi="仿宋" w:eastAsia="仿宋" w:cs="仿宋"/>
          <w:sz w:val="32"/>
          <w:szCs w:val="32"/>
        </w:rPr>
        <w:t>级预算单位。下设2个正科级直属单位</w:t>
      </w:r>
      <w:r>
        <w:rPr>
          <w:rFonts w:hint="eastAsia" w:eastAsia="黑体"/>
          <w:sz w:val="32"/>
          <w:szCs w:val="32"/>
        </w:rPr>
        <w:t>。</w:t>
      </w:r>
    </w:p>
    <w:p w14:paraId="00DD60F1">
      <w:pPr>
        <w:pStyle w:val="5"/>
        <w:widowControl/>
        <w:numPr>
          <w:ilvl w:val="0"/>
          <w:numId w:val="0"/>
        </w:numPr>
        <w:ind w:firstLine="640" w:firstLineChars="200"/>
        <w:rPr>
          <w:rFonts w:eastAsia="黑体"/>
          <w:sz w:val="32"/>
          <w:szCs w:val="32"/>
        </w:rPr>
      </w:pPr>
      <w:r>
        <w:rPr>
          <w:rFonts w:hint="eastAsia" w:eastAsia="黑体"/>
          <w:sz w:val="32"/>
          <w:szCs w:val="32"/>
          <w:lang w:eastAsia="zh-CN"/>
        </w:rPr>
        <w:t>二</w:t>
      </w:r>
      <w:r>
        <w:rPr>
          <w:rFonts w:hint="eastAsia" w:eastAsia="黑体"/>
          <w:sz w:val="32"/>
          <w:szCs w:val="32"/>
        </w:rPr>
        <w:t>、一般公共预算支出情况</w:t>
      </w:r>
    </w:p>
    <w:p w14:paraId="3E9690E2">
      <w:pPr>
        <w:pStyle w:val="5"/>
        <w:widowControl/>
        <w:ind w:firstLine="643"/>
        <w:rPr>
          <w:rFonts w:hint="eastAsia" w:eastAsia="楷体"/>
          <w:b/>
          <w:sz w:val="32"/>
          <w:szCs w:val="32"/>
        </w:rPr>
      </w:pPr>
      <w:r>
        <w:rPr>
          <w:rFonts w:hint="eastAsia" w:eastAsia="楷体"/>
          <w:b/>
          <w:sz w:val="32"/>
          <w:szCs w:val="32"/>
        </w:rPr>
        <w:t>（一）基本支出情况</w:t>
      </w:r>
    </w:p>
    <w:p w14:paraId="2B6A26E1">
      <w:pPr>
        <w:pStyle w:val="5"/>
        <w:widowControl/>
        <w:ind w:firstLine="643"/>
        <w:rPr>
          <w:rFonts w:hint="eastAsia" w:ascii="仿宋" w:hAnsi="仿宋" w:eastAsia="仿宋" w:cs="仿宋"/>
          <w:b w:val="0"/>
          <w:bCs/>
          <w:sz w:val="32"/>
          <w:szCs w:val="32"/>
        </w:rPr>
      </w:pPr>
      <w:r>
        <w:rPr>
          <w:rFonts w:hint="eastAsia" w:eastAsia="仿宋_GB2312"/>
          <w:sz w:val="32"/>
          <w:szCs w:val="32"/>
          <w:lang w:eastAsia="zh-CN"/>
        </w:rPr>
        <w:t>我单位</w:t>
      </w:r>
      <w:r>
        <w:rPr>
          <w:rFonts w:hint="eastAsia" w:eastAsia="仿宋_GB2312"/>
          <w:sz w:val="32"/>
          <w:szCs w:val="32"/>
        </w:rPr>
        <w:t>基本支出主要用</w:t>
      </w:r>
      <w:r>
        <w:rPr>
          <w:rFonts w:hint="eastAsia" w:eastAsia="仿宋_GB2312"/>
          <w:sz w:val="32"/>
          <w:szCs w:val="32"/>
          <w:lang w:eastAsia="zh-CN"/>
        </w:rPr>
        <w:t>于保障职工工资福利、</w:t>
      </w:r>
      <w:r>
        <w:rPr>
          <w:rFonts w:hint="eastAsia" w:ascii="仿宋" w:hAnsi="仿宋" w:eastAsia="仿宋" w:cs="仿宋"/>
          <w:color w:val="010101"/>
          <w:kern w:val="0"/>
          <w:sz w:val="32"/>
          <w:szCs w:val="32"/>
        </w:rPr>
        <w:t>维持机构的正常运行和开展日常的工作活动</w:t>
      </w:r>
      <w:r>
        <w:rPr>
          <w:rFonts w:hint="eastAsia" w:eastAsia="仿宋_GB2312"/>
          <w:sz w:val="32"/>
          <w:szCs w:val="32"/>
          <w:lang w:eastAsia="zh-CN"/>
        </w:rPr>
        <w:t>。</w:t>
      </w:r>
      <w:r>
        <w:rPr>
          <w:rFonts w:hint="eastAsia" w:ascii="仿宋" w:hAnsi="仿宋" w:eastAsia="仿宋" w:cs="仿宋"/>
          <w:b w:val="0"/>
          <w:bCs/>
          <w:sz w:val="32"/>
          <w:szCs w:val="32"/>
          <w:lang w:eastAsia="zh-CN"/>
        </w:rPr>
        <w:t>2022</w:t>
      </w:r>
      <w:r>
        <w:rPr>
          <w:rFonts w:hint="eastAsia" w:ascii="仿宋" w:hAnsi="仿宋" w:eastAsia="仿宋" w:cs="仿宋"/>
          <w:b w:val="0"/>
          <w:bCs/>
          <w:sz w:val="32"/>
          <w:szCs w:val="32"/>
        </w:rPr>
        <w:t>年</w:t>
      </w:r>
      <w:r>
        <w:rPr>
          <w:rFonts w:hint="eastAsia" w:ascii="仿宋" w:hAnsi="仿宋" w:eastAsia="仿宋" w:cs="仿宋"/>
          <w:b w:val="0"/>
          <w:bCs/>
          <w:sz w:val="32"/>
          <w:szCs w:val="32"/>
          <w:lang w:eastAsia="zh-CN"/>
        </w:rPr>
        <w:t>基本</w:t>
      </w:r>
      <w:r>
        <w:rPr>
          <w:rFonts w:hint="eastAsia" w:ascii="仿宋" w:hAnsi="仿宋" w:eastAsia="仿宋" w:cs="仿宋"/>
          <w:b w:val="0"/>
          <w:bCs/>
          <w:sz w:val="32"/>
          <w:szCs w:val="32"/>
        </w:rPr>
        <w:t>支出共计</w:t>
      </w:r>
      <w:r>
        <w:rPr>
          <w:rFonts w:hint="eastAsia" w:ascii="仿宋" w:hAnsi="仿宋" w:eastAsia="仿宋" w:cs="仿宋"/>
          <w:sz w:val="32"/>
          <w:szCs w:val="32"/>
          <w:lang w:val="en-US" w:eastAsia="zh-CN"/>
        </w:rPr>
        <w:t>6851.21</w:t>
      </w:r>
      <w:r>
        <w:rPr>
          <w:rFonts w:hint="eastAsia" w:ascii="仿宋" w:hAnsi="仿宋" w:eastAsia="仿宋" w:cs="仿宋"/>
          <w:b w:val="0"/>
          <w:bCs/>
          <w:sz w:val="32"/>
          <w:szCs w:val="32"/>
        </w:rPr>
        <w:t>万元，其中，工资及福利支出1760</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91万元，占比</w:t>
      </w:r>
      <w:r>
        <w:rPr>
          <w:rFonts w:hint="eastAsia" w:ascii="仿宋" w:hAnsi="仿宋" w:eastAsia="仿宋" w:cs="仿宋"/>
          <w:b w:val="0"/>
          <w:bCs/>
          <w:sz w:val="32"/>
          <w:szCs w:val="32"/>
          <w:lang w:val="en-US" w:eastAsia="zh-CN"/>
        </w:rPr>
        <w:t>25.7</w:t>
      </w:r>
      <w:r>
        <w:rPr>
          <w:rFonts w:hint="eastAsia" w:ascii="仿宋" w:hAnsi="仿宋" w:eastAsia="仿宋" w:cs="仿宋"/>
          <w:b w:val="0"/>
          <w:bCs/>
          <w:sz w:val="32"/>
          <w:szCs w:val="32"/>
        </w:rPr>
        <w:t>%；商品和服务支出</w:t>
      </w:r>
      <w:r>
        <w:rPr>
          <w:rFonts w:hint="eastAsia" w:ascii="仿宋" w:hAnsi="仿宋" w:eastAsia="仿宋" w:cs="仿宋"/>
          <w:b w:val="0"/>
          <w:bCs/>
          <w:sz w:val="32"/>
          <w:szCs w:val="32"/>
          <w:lang w:val="en-US" w:eastAsia="zh-CN"/>
        </w:rPr>
        <w:t>4735.39</w:t>
      </w:r>
      <w:r>
        <w:rPr>
          <w:rFonts w:hint="eastAsia" w:ascii="仿宋" w:hAnsi="仿宋" w:eastAsia="仿宋" w:cs="仿宋"/>
          <w:b w:val="0"/>
          <w:bCs/>
          <w:sz w:val="32"/>
          <w:szCs w:val="32"/>
        </w:rPr>
        <w:t>万元，占比</w:t>
      </w:r>
      <w:r>
        <w:rPr>
          <w:rFonts w:hint="eastAsia" w:ascii="仿宋" w:hAnsi="仿宋" w:eastAsia="仿宋" w:cs="仿宋"/>
          <w:b w:val="0"/>
          <w:bCs/>
          <w:sz w:val="32"/>
          <w:szCs w:val="32"/>
          <w:lang w:val="en-US" w:eastAsia="zh-CN"/>
        </w:rPr>
        <w:t>69.12</w:t>
      </w:r>
      <w:r>
        <w:rPr>
          <w:rFonts w:hint="eastAsia" w:ascii="仿宋" w:hAnsi="仿宋" w:eastAsia="仿宋" w:cs="仿宋"/>
          <w:b w:val="0"/>
          <w:bCs/>
          <w:sz w:val="32"/>
          <w:szCs w:val="32"/>
        </w:rPr>
        <w:t>%；对个人和家庭的补助支出323</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68万元，占比</w:t>
      </w:r>
      <w:r>
        <w:rPr>
          <w:rFonts w:hint="eastAsia" w:ascii="仿宋" w:hAnsi="仿宋" w:eastAsia="仿宋" w:cs="仿宋"/>
          <w:b w:val="0"/>
          <w:bCs/>
          <w:sz w:val="32"/>
          <w:szCs w:val="32"/>
          <w:lang w:val="en-US" w:eastAsia="zh-CN"/>
        </w:rPr>
        <w:t>4.72</w:t>
      </w:r>
      <w:r>
        <w:rPr>
          <w:rFonts w:hint="eastAsia" w:ascii="仿宋" w:hAnsi="仿宋" w:eastAsia="仿宋" w:cs="仿宋"/>
          <w:b w:val="0"/>
          <w:bCs/>
          <w:sz w:val="32"/>
          <w:szCs w:val="32"/>
        </w:rPr>
        <w:t>%；资本性支出</w:t>
      </w:r>
      <w:r>
        <w:rPr>
          <w:rFonts w:hint="eastAsia" w:ascii="仿宋" w:hAnsi="仿宋" w:eastAsia="仿宋" w:cs="仿宋"/>
          <w:b w:val="0"/>
          <w:bCs/>
          <w:sz w:val="32"/>
          <w:szCs w:val="32"/>
          <w:lang w:val="en-US" w:eastAsia="zh-CN"/>
        </w:rPr>
        <w:t>31.23</w:t>
      </w:r>
      <w:r>
        <w:rPr>
          <w:rFonts w:hint="eastAsia" w:ascii="仿宋" w:hAnsi="仿宋" w:eastAsia="仿宋" w:cs="仿宋"/>
          <w:b w:val="0"/>
          <w:bCs/>
          <w:sz w:val="32"/>
          <w:szCs w:val="32"/>
        </w:rPr>
        <w:t>万元，占比</w:t>
      </w:r>
      <w:r>
        <w:rPr>
          <w:rFonts w:hint="eastAsia" w:ascii="仿宋" w:hAnsi="仿宋" w:eastAsia="仿宋" w:cs="仿宋"/>
          <w:b w:val="0"/>
          <w:bCs/>
          <w:sz w:val="32"/>
          <w:szCs w:val="32"/>
          <w:lang w:val="en-US" w:eastAsia="zh-CN"/>
        </w:rPr>
        <w:t>0.46</w:t>
      </w:r>
      <w:r>
        <w:rPr>
          <w:rFonts w:hint="eastAsia" w:ascii="仿宋" w:hAnsi="仿宋" w:eastAsia="仿宋" w:cs="仿宋"/>
          <w:b w:val="0"/>
          <w:bCs/>
          <w:sz w:val="32"/>
          <w:szCs w:val="32"/>
        </w:rPr>
        <w:t>%。</w:t>
      </w:r>
    </w:p>
    <w:p w14:paraId="06810A72">
      <w:pPr>
        <w:pStyle w:val="5"/>
        <w:widowControl/>
        <w:ind w:firstLine="643"/>
        <w:rPr>
          <w:rFonts w:eastAsia="楷体"/>
          <w:b/>
          <w:sz w:val="32"/>
          <w:szCs w:val="32"/>
        </w:rPr>
      </w:pPr>
      <w:r>
        <w:rPr>
          <w:rFonts w:hint="eastAsia" w:eastAsia="楷体"/>
          <w:b/>
          <w:sz w:val="32"/>
          <w:szCs w:val="32"/>
        </w:rPr>
        <w:t>（二）项目支出情况</w:t>
      </w:r>
    </w:p>
    <w:p w14:paraId="323C92E8">
      <w:pPr>
        <w:widowControl/>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2022</w:t>
      </w:r>
      <w:r>
        <w:rPr>
          <w:rFonts w:hint="eastAsia" w:ascii="仿宋" w:hAnsi="仿宋" w:eastAsia="仿宋" w:cs="仿宋"/>
          <w:b w:val="0"/>
          <w:bCs/>
          <w:sz w:val="32"/>
          <w:szCs w:val="32"/>
        </w:rPr>
        <w:t>年</w:t>
      </w:r>
      <w:r>
        <w:rPr>
          <w:rFonts w:hint="eastAsia" w:ascii="仿宋" w:hAnsi="仿宋" w:eastAsia="仿宋" w:cs="仿宋"/>
          <w:b w:val="0"/>
          <w:bCs/>
          <w:sz w:val="32"/>
          <w:szCs w:val="32"/>
          <w:lang w:eastAsia="zh-CN"/>
        </w:rPr>
        <w:t>项目</w:t>
      </w:r>
      <w:r>
        <w:rPr>
          <w:rFonts w:hint="eastAsia" w:ascii="仿宋" w:hAnsi="仿宋" w:eastAsia="仿宋" w:cs="仿宋"/>
          <w:b w:val="0"/>
          <w:bCs/>
          <w:sz w:val="32"/>
          <w:szCs w:val="32"/>
        </w:rPr>
        <w:t>支出共计1</w:t>
      </w:r>
      <w:r>
        <w:rPr>
          <w:rFonts w:hint="eastAsia" w:ascii="仿宋" w:hAnsi="仿宋" w:eastAsia="仿宋" w:cs="仿宋"/>
          <w:b w:val="0"/>
          <w:bCs/>
          <w:sz w:val="32"/>
          <w:szCs w:val="32"/>
          <w:lang w:val="en-US" w:eastAsia="zh-CN"/>
        </w:rPr>
        <w:t>01.13</w:t>
      </w:r>
      <w:r>
        <w:rPr>
          <w:rFonts w:hint="eastAsia" w:ascii="仿宋" w:hAnsi="仿宋" w:eastAsia="仿宋" w:cs="仿宋"/>
          <w:b w:val="0"/>
          <w:bCs/>
          <w:sz w:val="32"/>
          <w:szCs w:val="32"/>
        </w:rPr>
        <w:t>万元，其中，其他城乡社区管理事务支出</w:t>
      </w:r>
      <w:r>
        <w:rPr>
          <w:rFonts w:hint="eastAsia" w:ascii="仿宋" w:hAnsi="仿宋" w:eastAsia="仿宋" w:cs="仿宋"/>
          <w:b w:val="0"/>
          <w:bCs/>
          <w:sz w:val="32"/>
          <w:szCs w:val="32"/>
          <w:lang w:val="en-US" w:eastAsia="zh-CN"/>
        </w:rPr>
        <w:t>91.25</w:t>
      </w:r>
      <w:r>
        <w:rPr>
          <w:rFonts w:hint="eastAsia" w:ascii="仿宋" w:hAnsi="仿宋" w:eastAsia="仿宋" w:cs="仿宋"/>
          <w:b w:val="0"/>
          <w:bCs/>
          <w:sz w:val="32"/>
          <w:szCs w:val="32"/>
        </w:rPr>
        <w:t>万元，</w:t>
      </w:r>
      <w:r>
        <w:rPr>
          <w:rFonts w:hint="eastAsia" w:ascii="仿宋" w:hAnsi="仿宋" w:eastAsia="仿宋" w:cs="仿宋"/>
          <w:b w:val="0"/>
          <w:bCs/>
          <w:sz w:val="32"/>
          <w:szCs w:val="32"/>
          <w:lang w:eastAsia="zh-CN"/>
        </w:rPr>
        <w:t>主要用于</w:t>
      </w:r>
      <w:r>
        <w:rPr>
          <w:rFonts w:hint="eastAsia" w:ascii="仿宋" w:hAnsi="仿宋" w:eastAsia="仿宋" w:cs="仿宋"/>
          <w:b w:val="0"/>
          <w:bCs/>
          <w:sz w:val="32"/>
          <w:szCs w:val="32"/>
        </w:rPr>
        <w:t>公租房运营维修优化升级。按照“精致管理、精细建设、精美小区”的要求，持续加大对公租房配套基础设施建设和房屋修缮的投入。抓好公租房分配管理。其他城乡社区支出</w:t>
      </w:r>
      <w:r>
        <w:rPr>
          <w:rFonts w:hint="eastAsia" w:ascii="仿宋" w:hAnsi="仿宋" w:eastAsia="仿宋" w:cs="仿宋"/>
          <w:b w:val="0"/>
          <w:bCs/>
          <w:sz w:val="32"/>
          <w:szCs w:val="32"/>
          <w:lang w:val="en-US" w:eastAsia="zh-CN"/>
        </w:rPr>
        <w:t>9.88万元，主要用于抓好房产行业项目监管。加强项目管理，全市“两书一册”项目实施率达到100%，项目资本金项目实施率100%；全面推行预售资金监管制度，项目备案率100%；做好城区商品房预（现）售、租赁、抵押合同网签备案工作；加大平台建设力度，完善住保系统平台建设工作。</w:t>
      </w:r>
    </w:p>
    <w:p w14:paraId="19B973C2">
      <w:pPr>
        <w:widowControl/>
        <w:ind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三</w:t>
      </w:r>
      <w:r>
        <w:rPr>
          <w:rFonts w:hint="eastAsia" w:ascii="仿宋" w:hAnsi="仿宋" w:eastAsia="仿宋" w:cs="仿宋"/>
          <w:b w:val="0"/>
          <w:bCs/>
          <w:sz w:val="32"/>
          <w:szCs w:val="32"/>
          <w:lang w:val="en-US" w:eastAsia="zh-CN"/>
        </w:rPr>
        <w:t>、</w:t>
      </w:r>
      <w:r>
        <w:rPr>
          <w:rFonts w:hint="eastAsia" w:ascii="Times New Roman" w:hAnsi="Times New Roman" w:eastAsia="黑体" w:cs="Times New Roman"/>
          <w:kern w:val="2"/>
          <w:sz w:val="32"/>
          <w:szCs w:val="32"/>
          <w:lang w:val="en-US" w:eastAsia="zh-CN" w:bidi="ar-SA"/>
        </w:rPr>
        <w:t>政府性基金预算支出情况</w:t>
      </w:r>
    </w:p>
    <w:p w14:paraId="0C0785C6">
      <w:pPr>
        <w:widowControl/>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本年度无政</w:t>
      </w:r>
      <w:r>
        <w:rPr>
          <w:rFonts w:hint="eastAsia" w:ascii="仿宋" w:hAnsi="仿宋" w:eastAsia="仿宋" w:cs="仿宋"/>
          <w:sz w:val="32"/>
          <w:szCs w:val="32"/>
        </w:rPr>
        <w:t>府性基金预算支出</w:t>
      </w:r>
      <w:r>
        <w:rPr>
          <w:rFonts w:hint="eastAsia" w:ascii="仿宋" w:hAnsi="仿宋" w:eastAsia="仿宋" w:cs="仿宋"/>
          <w:sz w:val="32"/>
          <w:szCs w:val="32"/>
          <w:lang w:eastAsia="zh-CN"/>
        </w:rPr>
        <w:t>。</w:t>
      </w:r>
    </w:p>
    <w:p w14:paraId="7079B45D">
      <w:pPr>
        <w:pStyle w:val="5"/>
        <w:widowControl/>
        <w:ind w:firstLine="640"/>
        <w:rPr>
          <w:rFonts w:hint="eastAsia" w:eastAsia="黑体"/>
          <w:sz w:val="32"/>
          <w:szCs w:val="32"/>
        </w:rPr>
      </w:pPr>
      <w:r>
        <w:rPr>
          <w:rFonts w:hint="eastAsia" w:eastAsia="黑体"/>
          <w:sz w:val="32"/>
          <w:szCs w:val="32"/>
          <w:lang w:eastAsia="zh-CN"/>
        </w:rPr>
        <w:t>四</w:t>
      </w:r>
      <w:r>
        <w:rPr>
          <w:rFonts w:hint="eastAsia" w:eastAsia="黑体"/>
          <w:sz w:val="32"/>
          <w:szCs w:val="32"/>
        </w:rPr>
        <w:t>、国有资本经营预算支出情况</w:t>
      </w:r>
    </w:p>
    <w:p w14:paraId="448D56B9">
      <w:pPr>
        <w:widowControl/>
        <w:ind w:firstLine="640" w:firstLineChars="200"/>
        <w:rPr>
          <w:rFonts w:hint="eastAsia" w:ascii="仿宋" w:hAnsi="仿宋" w:eastAsia="仿宋" w:cs="仿宋"/>
          <w:sz w:val="32"/>
          <w:szCs w:val="32"/>
        </w:rPr>
      </w:pPr>
      <w:r>
        <w:rPr>
          <w:rFonts w:hint="eastAsia" w:ascii="仿宋" w:hAnsi="仿宋" w:eastAsia="仿宋" w:cs="仿宋"/>
          <w:b w:val="0"/>
          <w:bCs/>
          <w:sz w:val="32"/>
          <w:szCs w:val="32"/>
          <w:lang w:val="en-US" w:eastAsia="zh-CN"/>
        </w:rPr>
        <w:t>本年度无国有资本经营预算支出</w:t>
      </w:r>
      <w:r>
        <w:rPr>
          <w:rFonts w:hint="eastAsia" w:ascii="仿宋" w:hAnsi="仿宋" w:eastAsia="仿宋" w:cs="仿宋"/>
          <w:sz w:val="32"/>
          <w:szCs w:val="32"/>
          <w:lang w:eastAsia="zh-CN"/>
        </w:rPr>
        <w:t>。</w:t>
      </w:r>
    </w:p>
    <w:p w14:paraId="6B777682">
      <w:pPr>
        <w:pStyle w:val="5"/>
        <w:widowControl/>
        <w:ind w:firstLine="640"/>
        <w:rPr>
          <w:rFonts w:hint="eastAsia" w:eastAsia="黑体"/>
          <w:sz w:val="32"/>
          <w:szCs w:val="32"/>
        </w:rPr>
      </w:pPr>
      <w:r>
        <w:rPr>
          <w:rFonts w:hint="eastAsia" w:eastAsia="黑体"/>
          <w:sz w:val="32"/>
          <w:szCs w:val="32"/>
        </w:rPr>
        <w:t>五、社会保险基金预算支出情况</w:t>
      </w:r>
    </w:p>
    <w:p w14:paraId="763298A8">
      <w:pPr>
        <w:pStyle w:val="5"/>
        <w:widowControl/>
        <w:ind w:firstLine="64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本年度无社会保险基金预算支出。</w:t>
      </w:r>
    </w:p>
    <w:p w14:paraId="36657211">
      <w:pPr>
        <w:pStyle w:val="5"/>
        <w:widowControl/>
        <w:ind w:firstLine="640"/>
        <w:rPr>
          <w:rFonts w:hint="eastAsia" w:ascii="Times New Roman" w:hAnsi="Times New Roman" w:eastAsia="黑体"/>
          <w:sz w:val="32"/>
          <w:szCs w:val="32"/>
        </w:rPr>
      </w:pPr>
      <w:r>
        <w:rPr>
          <w:rFonts w:hint="eastAsia" w:eastAsia="黑体"/>
          <w:sz w:val="32"/>
          <w:szCs w:val="32"/>
          <w:lang w:eastAsia="zh-CN"/>
        </w:rPr>
        <w:t>六</w:t>
      </w:r>
      <w:r>
        <w:rPr>
          <w:rFonts w:hint="eastAsia" w:eastAsia="黑体"/>
          <w:sz w:val="32"/>
          <w:szCs w:val="32"/>
          <w:lang w:val="en-US" w:eastAsia="zh-CN"/>
        </w:rPr>
        <w:t>、</w:t>
      </w:r>
      <w:r>
        <w:rPr>
          <w:rFonts w:hint="eastAsia" w:ascii="Times New Roman" w:hAnsi="Times New Roman" w:eastAsia="黑体"/>
          <w:sz w:val="32"/>
          <w:szCs w:val="32"/>
        </w:rPr>
        <w:t>部门整体支出绩效情况</w:t>
      </w:r>
    </w:p>
    <w:p w14:paraId="3EAFF3EF">
      <w:pPr>
        <w:pStyle w:val="2"/>
        <w:numPr>
          <w:ilvl w:val="0"/>
          <w:numId w:val="0"/>
        </w:numPr>
        <w:ind w:firstLine="640" w:firstLineChars="200"/>
        <w:rPr>
          <w:rFonts w:hint="eastAsia" w:ascii="仿宋" w:hAnsi="仿宋" w:eastAsia="仿宋" w:cs="仿宋"/>
          <w:sz w:val="30"/>
          <w:szCs w:val="30"/>
        </w:rPr>
      </w:pPr>
      <w:r>
        <w:rPr>
          <w:rFonts w:hint="eastAsia" w:ascii="仿宋" w:hAnsi="仿宋" w:eastAsia="仿宋" w:cs="仿宋"/>
          <w:sz w:val="32"/>
          <w:szCs w:val="32"/>
          <w:lang w:eastAsia="zh-CN"/>
        </w:rPr>
        <w:t>2022</w:t>
      </w:r>
      <w:r>
        <w:rPr>
          <w:rFonts w:hint="eastAsia" w:ascii="仿宋" w:hAnsi="仿宋" w:eastAsia="仿宋" w:cs="仿宋"/>
          <w:sz w:val="32"/>
          <w:szCs w:val="32"/>
        </w:rPr>
        <w:t>年，各</w:t>
      </w:r>
      <w:r>
        <w:rPr>
          <w:rFonts w:hint="eastAsia" w:ascii="仿宋" w:hAnsi="仿宋" w:eastAsia="仿宋" w:cs="仿宋"/>
          <w:sz w:val="32"/>
          <w:szCs w:val="32"/>
          <w:lang w:eastAsia="zh-CN"/>
        </w:rPr>
        <w:t>科室</w:t>
      </w:r>
      <w:r>
        <w:rPr>
          <w:rFonts w:hint="eastAsia" w:ascii="仿宋" w:hAnsi="仿宋" w:eastAsia="仿宋" w:cs="仿宋"/>
          <w:sz w:val="32"/>
          <w:szCs w:val="32"/>
        </w:rPr>
        <w:t>根据市委、市政府年度工作计划及工作重点、立法工作计划和监督工作计划的要求，认真履行职责，较好地完成了年初确定的各项工作任务，</w:t>
      </w:r>
      <w:r>
        <w:rPr>
          <w:rFonts w:hint="eastAsia" w:ascii="仿宋" w:hAnsi="仿宋" w:eastAsia="仿宋" w:cs="仿宋"/>
          <w:color w:val="auto"/>
          <w:spacing w:val="0"/>
          <w:sz w:val="32"/>
          <w:szCs w:val="32"/>
          <w:lang w:val="en-US" w:eastAsia="zh-CN"/>
        </w:rPr>
        <w:t>积极平稳</w:t>
      </w:r>
      <w:r>
        <w:rPr>
          <w:rFonts w:hint="default" w:ascii="仿宋" w:hAnsi="仿宋" w:eastAsia="仿宋" w:cs="仿宋"/>
          <w:color w:val="auto"/>
          <w:spacing w:val="0"/>
          <w:sz w:val="32"/>
          <w:szCs w:val="32"/>
          <w:lang w:val="en-US" w:eastAsia="zh-CN"/>
        </w:rPr>
        <w:t>市场</w:t>
      </w:r>
      <w:r>
        <w:rPr>
          <w:rFonts w:hint="eastAsia" w:ascii="仿宋" w:hAnsi="仿宋" w:eastAsia="仿宋" w:cs="仿宋"/>
          <w:color w:val="auto"/>
          <w:spacing w:val="0"/>
          <w:sz w:val="32"/>
          <w:szCs w:val="32"/>
          <w:lang w:val="en-US" w:eastAsia="zh-CN"/>
        </w:rPr>
        <w:t>服务民生，大力推进保障性住房</w:t>
      </w:r>
      <w:r>
        <w:rPr>
          <w:rFonts w:hint="default" w:ascii="仿宋" w:hAnsi="仿宋" w:eastAsia="仿宋" w:cs="仿宋"/>
          <w:color w:val="auto"/>
          <w:spacing w:val="0"/>
          <w:sz w:val="32"/>
          <w:szCs w:val="32"/>
          <w:lang w:val="en-US" w:eastAsia="zh-CN"/>
        </w:rPr>
        <w:t>管理规范有序</w:t>
      </w:r>
      <w:r>
        <w:rPr>
          <w:rFonts w:hint="eastAsia" w:ascii="仿宋" w:hAnsi="仿宋" w:eastAsia="仿宋" w:cs="仿宋"/>
          <w:color w:val="auto"/>
          <w:spacing w:val="0"/>
          <w:sz w:val="32"/>
          <w:szCs w:val="32"/>
          <w:lang w:val="en-US" w:eastAsia="zh-CN"/>
        </w:rPr>
        <w:t>，</w:t>
      </w:r>
      <w:r>
        <w:rPr>
          <w:rFonts w:hint="default" w:ascii="仿宋" w:hAnsi="仿宋" w:eastAsia="仿宋" w:cs="仿宋"/>
          <w:color w:val="auto"/>
          <w:spacing w:val="0"/>
          <w:sz w:val="32"/>
          <w:szCs w:val="32"/>
          <w:lang w:val="en-US" w:eastAsia="zh-CN"/>
        </w:rPr>
        <w:t>持续优化营商环境，各项工作不断取得新突破、实现新发展</w:t>
      </w:r>
      <w:r>
        <w:rPr>
          <w:rFonts w:hint="eastAsia" w:ascii="仿宋" w:hAnsi="仿宋" w:eastAsia="仿宋" w:cs="仿宋"/>
          <w:sz w:val="32"/>
          <w:szCs w:val="32"/>
        </w:rPr>
        <w:t>。主要绩效如下：</w:t>
      </w:r>
    </w:p>
    <w:p w14:paraId="72BB691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spacing w:val="0"/>
          <w:sz w:val="32"/>
          <w:szCs w:val="32"/>
          <w:lang w:val="en-US" w:eastAsia="zh-CN"/>
        </w:rPr>
      </w:pPr>
      <w:r>
        <w:rPr>
          <w:rFonts w:hint="eastAsia" w:ascii="楷体" w:hAnsi="楷体" w:eastAsia="楷体" w:cs="楷体"/>
          <w:b/>
          <w:bCs/>
          <w:color w:val="auto"/>
          <w:spacing w:val="0"/>
          <w:sz w:val="32"/>
          <w:szCs w:val="32"/>
          <w:lang w:val="en-US" w:eastAsia="zh-CN"/>
        </w:rPr>
        <w:t>（一）放眼大局，立足监管职能平稳市场</w:t>
      </w:r>
    </w:p>
    <w:p w14:paraId="639341D1">
      <w:pPr>
        <w:pStyle w:val="5"/>
        <w:keepNext w:val="0"/>
        <w:keepLines w:val="0"/>
        <w:pageBreakBefore w:val="0"/>
        <w:widowControl w:val="0"/>
        <w:kinsoku/>
        <w:wordWrap/>
        <w:overflowPunct/>
        <w:topLinePunct w:val="0"/>
        <w:autoSpaceDN/>
        <w:bidi w:val="0"/>
        <w:adjustRightInd/>
        <w:snapToGrid/>
        <w:spacing w:line="600" w:lineRule="exact"/>
        <w:ind w:firstLine="643" w:firstLineChars="200"/>
        <w:jc w:val="left"/>
        <w:rPr>
          <w:rFonts w:hint="eastAsia" w:ascii="仿宋" w:hAnsi="仿宋" w:eastAsia="仿宋" w:cs="仿宋"/>
          <w:sz w:val="32"/>
          <w:szCs w:val="32"/>
          <w:lang w:eastAsia="zh-CN"/>
        </w:rPr>
      </w:pPr>
      <w:r>
        <w:rPr>
          <w:rFonts w:hint="eastAsia" w:ascii="仿宋" w:hAnsi="仿宋" w:eastAsia="仿宋" w:cs="仿宋"/>
          <w:b/>
          <w:bCs/>
          <w:color w:val="auto"/>
          <w:sz w:val="32"/>
          <w:szCs w:val="32"/>
          <w:lang w:val="en-US" w:eastAsia="zh-CN"/>
        </w:rPr>
        <w:t>一是助力“三稳”“三保”。</w:t>
      </w:r>
      <w:r>
        <w:rPr>
          <w:rFonts w:hint="eastAsia" w:ascii="仿宋" w:hAnsi="仿宋" w:eastAsia="仿宋" w:cs="仿宋"/>
          <w:color w:val="auto"/>
          <w:spacing w:val="0"/>
          <w:kern w:val="2"/>
          <w:sz w:val="32"/>
          <w:szCs w:val="32"/>
          <w:lang w:val="en-US" w:eastAsia="zh-CN" w:bidi="ar-SA"/>
        </w:rPr>
        <w:t>出台《关于进一步加强商品房预售资金监管工作的通知》，启用“点对点”支付方式，按施工进度拨付资金，确保资金用于项目建设。落实市委市政府指示，全额释放金钟、杉杉奥莱等项目资本金4727.1万元，全年累计释放项目资本金1.54亿元，助力企业脱困交楼。配合落实“保交楼”专项借相关工作，做好借款项目预售资金、销售情况清查和抵押物网签备案工作，</w:t>
      </w:r>
      <w:r>
        <w:rPr>
          <w:rFonts w:hint="eastAsia" w:ascii="仿宋" w:hAnsi="仿宋" w:eastAsia="仿宋"/>
          <w:sz w:val="32"/>
          <w:szCs w:val="32"/>
        </w:rPr>
        <w:t>完成城区8个项目6</w:t>
      </w:r>
      <w:r>
        <w:rPr>
          <w:rFonts w:hint="eastAsia" w:ascii="仿宋" w:hAnsi="仿宋" w:eastAsia="仿宋"/>
          <w:sz w:val="32"/>
          <w:szCs w:val="32"/>
          <w:lang w:val="en-US" w:eastAsia="zh-CN"/>
        </w:rPr>
        <w:t>.</w:t>
      </w: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lang w:eastAsia="zh-CN"/>
        </w:rPr>
        <w:t>亿</w:t>
      </w:r>
      <w:r>
        <w:rPr>
          <w:rFonts w:hint="eastAsia" w:ascii="仿宋" w:hAnsi="仿宋" w:eastAsia="仿宋"/>
          <w:sz w:val="32"/>
          <w:szCs w:val="32"/>
        </w:rPr>
        <w:t>元</w:t>
      </w:r>
      <w:r>
        <w:rPr>
          <w:rFonts w:hint="eastAsia" w:ascii="仿宋" w:hAnsi="仿宋" w:eastAsia="仿宋"/>
          <w:sz w:val="32"/>
          <w:szCs w:val="32"/>
          <w:lang w:eastAsia="zh-CN"/>
        </w:rPr>
        <w:t>抵押资产网签备案</w:t>
      </w:r>
      <w:r>
        <w:rPr>
          <w:rFonts w:hint="eastAsia" w:ascii="仿宋" w:hAnsi="仿宋" w:eastAsia="仿宋" w:cs="仿宋"/>
          <w:color w:val="auto"/>
          <w:spacing w:val="0"/>
          <w:kern w:val="2"/>
          <w:sz w:val="32"/>
          <w:szCs w:val="32"/>
          <w:lang w:val="en-US" w:eastAsia="zh-CN" w:bidi="ar-SA"/>
        </w:rPr>
        <w:t>。</w:t>
      </w:r>
      <w:r>
        <w:rPr>
          <w:rFonts w:hint="eastAsia" w:ascii="仿宋" w:hAnsi="仿宋" w:eastAsia="仿宋" w:cs="仿宋"/>
          <w:b/>
          <w:bCs/>
          <w:color w:val="auto"/>
          <w:spacing w:val="0"/>
          <w:kern w:val="2"/>
          <w:sz w:val="32"/>
          <w:szCs w:val="32"/>
          <w:lang w:val="en-US" w:eastAsia="zh-CN" w:bidi="ar-SA"/>
        </w:rPr>
        <w:t>二是维护交易秩序</w:t>
      </w:r>
      <w:r>
        <w:rPr>
          <w:rFonts w:hint="eastAsia" w:ascii="仿宋" w:hAnsi="仿宋" w:eastAsia="仿宋" w:cs="仿宋"/>
          <w:b/>
          <w:bCs/>
          <w:color w:val="auto"/>
          <w:spacing w:val="0"/>
          <w:sz w:val="32"/>
          <w:szCs w:val="32"/>
        </w:rPr>
        <w:t>。</w:t>
      </w:r>
      <w:r>
        <w:rPr>
          <w:rFonts w:hint="eastAsia" w:ascii="仿宋" w:hAnsi="仿宋" w:eastAsia="仿宋" w:cs="仿宋"/>
          <w:color w:val="auto"/>
          <w:spacing w:val="0"/>
          <w:sz w:val="32"/>
          <w:szCs w:val="32"/>
          <w:lang w:eastAsia="zh-CN"/>
        </w:rPr>
        <w:t>全年</w:t>
      </w:r>
      <w:r>
        <w:rPr>
          <w:rFonts w:hint="eastAsia" w:ascii="仿宋" w:hAnsi="仿宋" w:eastAsia="仿宋" w:cs="仿宋"/>
          <w:color w:val="auto"/>
          <w:spacing w:val="0"/>
          <w:sz w:val="32"/>
          <w:szCs w:val="32"/>
        </w:rPr>
        <w:t>市本级城区商品房</w:t>
      </w:r>
      <w:r>
        <w:rPr>
          <w:rFonts w:hint="eastAsia" w:ascii="仿宋" w:hAnsi="仿宋" w:eastAsia="仿宋"/>
          <w:sz w:val="32"/>
          <w:szCs w:val="32"/>
        </w:rPr>
        <w:t>网签22774套，总建筑面积218.47万平方米，成交金额118.97亿元；商品房抵押合同备案件1.47万件，建筑面积109万平方米；租赁合同登记备案应备尽备。</w:t>
      </w:r>
      <w:r>
        <w:rPr>
          <w:rFonts w:hint="eastAsia" w:ascii="仿宋" w:hAnsi="仿宋" w:eastAsia="仿宋" w:cs="仿宋"/>
          <w:color w:val="auto"/>
          <w:spacing w:val="0"/>
          <w:sz w:val="32"/>
          <w:szCs w:val="32"/>
        </w:rPr>
        <w:t>市本级无一例“一房多卖”现象发生，交易环节无重大风险隐患。</w:t>
      </w:r>
      <w:r>
        <w:rPr>
          <w:rFonts w:hint="eastAsia" w:ascii="仿宋" w:hAnsi="仿宋" w:eastAsia="仿宋" w:cs="仿宋"/>
          <w:b/>
          <w:bCs/>
          <w:color w:val="auto"/>
          <w:spacing w:val="0"/>
          <w:sz w:val="32"/>
          <w:szCs w:val="32"/>
          <w:lang w:eastAsia="zh-CN"/>
        </w:rPr>
        <w:t>三是</w:t>
      </w:r>
      <w:r>
        <w:rPr>
          <w:rFonts w:hint="eastAsia" w:ascii="仿宋" w:hAnsi="仿宋" w:eastAsia="仿宋" w:cs="仿宋"/>
          <w:b/>
          <w:bCs/>
          <w:sz w:val="32"/>
          <w:szCs w:val="32"/>
        </w:rPr>
        <w:t>落实</w:t>
      </w:r>
      <w:r>
        <w:rPr>
          <w:rFonts w:hint="eastAsia" w:ascii="仿宋" w:hAnsi="仿宋" w:eastAsia="仿宋" w:cs="仿宋"/>
          <w:b/>
          <w:bCs/>
          <w:sz w:val="32"/>
          <w:szCs w:val="32"/>
          <w:lang w:eastAsia="zh-CN"/>
        </w:rPr>
        <w:t>购房</w:t>
      </w:r>
      <w:r>
        <w:rPr>
          <w:rFonts w:hint="eastAsia" w:ascii="仿宋" w:hAnsi="仿宋" w:eastAsia="仿宋" w:cs="仿宋"/>
          <w:b/>
          <w:bCs/>
          <w:sz w:val="32"/>
          <w:szCs w:val="32"/>
        </w:rPr>
        <w:t>补贴。</w:t>
      </w:r>
      <w:r>
        <w:rPr>
          <w:rFonts w:hint="eastAsia" w:ascii="仿宋" w:hAnsi="仿宋" w:eastAsia="仿宋"/>
          <w:sz w:val="32"/>
          <w:szCs w:val="32"/>
          <w:lang w:eastAsia="zh-CN"/>
        </w:rPr>
        <w:t>落实市委市政府安排部署，扩大人才购房补贴范围，持续做好</w:t>
      </w:r>
      <w:r>
        <w:rPr>
          <w:rFonts w:hint="eastAsia" w:ascii="仿宋" w:hAnsi="仿宋" w:eastAsia="仿宋"/>
          <w:sz w:val="32"/>
          <w:szCs w:val="32"/>
        </w:rPr>
        <w:t>购房契税补贴</w:t>
      </w:r>
      <w:r>
        <w:rPr>
          <w:rFonts w:hint="eastAsia" w:ascii="仿宋" w:hAnsi="仿宋" w:eastAsia="仿宋"/>
          <w:sz w:val="32"/>
          <w:szCs w:val="32"/>
          <w:lang w:eastAsia="zh-CN"/>
        </w:rPr>
        <w:t>工作</w:t>
      </w:r>
      <w:r>
        <w:rPr>
          <w:rFonts w:hint="eastAsia" w:ascii="仿宋" w:hAnsi="仿宋" w:eastAsia="仿宋"/>
          <w:sz w:val="32"/>
          <w:szCs w:val="32"/>
        </w:rPr>
        <w:t>，</w:t>
      </w:r>
      <w:r>
        <w:rPr>
          <w:rFonts w:hint="eastAsia" w:ascii="仿宋" w:hAnsi="仿宋" w:eastAsia="仿宋"/>
          <w:sz w:val="32"/>
          <w:szCs w:val="32"/>
          <w:lang w:eastAsia="zh-CN"/>
        </w:rPr>
        <w:t>广泛宣传补贴政策，全面做好政策保障工作，</w:t>
      </w:r>
      <w:r>
        <w:rPr>
          <w:rFonts w:hint="eastAsia" w:ascii="仿宋" w:hAnsi="仿宋" w:eastAsia="仿宋"/>
          <w:sz w:val="32"/>
          <w:szCs w:val="32"/>
        </w:rPr>
        <w:t>全年共受理购房补贴</w:t>
      </w:r>
      <w:r>
        <w:rPr>
          <w:rFonts w:hint="eastAsia" w:ascii="仿宋" w:hAnsi="仿宋" w:eastAsia="仿宋"/>
          <w:sz w:val="32"/>
          <w:szCs w:val="32"/>
          <w:lang w:eastAsia="zh-CN"/>
        </w:rPr>
        <w:t>申请</w:t>
      </w:r>
      <w:r>
        <w:rPr>
          <w:rFonts w:hint="eastAsia" w:ascii="仿宋" w:hAnsi="仿宋" w:eastAsia="仿宋"/>
          <w:sz w:val="32"/>
          <w:szCs w:val="32"/>
          <w:lang w:val="en-US" w:eastAsia="zh-CN"/>
        </w:rPr>
        <w:t>10827</w:t>
      </w:r>
      <w:r>
        <w:rPr>
          <w:rFonts w:hint="eastAsia" w:ascii="仿宋" w:hAnsi="仿宋" w:eastAsia="仿宋"/>
          <w:sz w:val="32"/>
          <w:szCs w:val="32"/>
        </w:rPr>
        <w:t>件，补贴金额</w:t>
      </w:r>
      <w:r>
        <w:rPr>
          <w:rFonts w:hint="eastAsia" w:ascii="仿宋" w:hAnsi="仿宋" w:eastAsia="仿宋"/>
          <w:sz w:val="32"/>
          <w:szCs w:val="32"/>
          <w:lang w:val="en-US" w:eastAsia="zh-CN"/>
        </w:rPr>
        <w:t>4334.23</w:t>
      </w:r>
      <w:r>
        <w:rPr>
          <w:rFonts w:hint="eastAsia" w:ascii="仿宋" w:hAnsi="仿宋" w:eastAsia="仿宋"/>
          <w:sz w:val="32"/>
          <w:szCs w:val="32"/>
        </w:rPr>
        <w:t>万元</w:t>
      </w:r>
      <w:r>
        <w:rPr>
          <w:rFonts w:hint="eastAsia" w:ascii="仿宋" w:hAnsi="仿宋" w:eastAsia="仿宋"/>
          <w:sz w:val="32"/>
          <w:szCs w:val="32"/>
          <w:lang w:eastAsia="zh-CN"/>
        </w:rPr>
        <w:t>；受理</w:t>
      </w:r>
      <w:r>
        <w:rPr>
          <w:rFonts w:hint="eastAsia" w:ascii="仿宋" w:hAnsi="仿宋" w:eastAsia="仿宋"/>
          <w:sz w:val="32"/>
          <w:szCs w:val="32"/>
        </w:rPr>
        <w:t>人才购房补贴</w:t>
      </w:r>
      <w:r>
        <w:rPr>
          <w:rFonts w:hint="eastAsia" w:ascii="仿宋" w:hAnsi="仿宋" w:eastAsia="仿宋"/>
          <w:sz w:val="32"/>
          <w:szCs w:val="32"/>
          <w:lang w:val="en-US" w:eastAsia="zh-CN"/>
        </w:rPr>
        <w:t>191</w:t>
      </w:r>
      <w:r>
        <w:rPr>
          <w:rFonts w:hint="eastAsia" w:ascii="仿宋" w:hAnsi="仿宋" w:eastAsia="仿宋"/>
          <w:sz w:val="32"/>
          <w:szCs w:val="32"/>
        </w:rPr>
        <w:t>人次，补贴金额</w:t>
      </w:r>
      <w:r>
        <w:rPr>
          <w:rFonts w:hint="eastAsia" w:ascii="仿宋" w:hAnsi="仿宋" w:eastAsia="仿宋"/>
          <w:sz w:val="32"/>
          <w:szCs w:val="32"/>
          <w:lang w:val="en-US" w:eastAsia="zh-CN"/>
        </w:rPr>
        <w:t>1456</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b/>
          <w:bCs/>
          <w:sz w:val="32"/>
          <w:szCs w:val="32"/>
          <w:lang w:eastAsia="zh-CN"/>
        </w:rPr>
        <w:t>四是</w:t>
      </w:r>
      <w:r>
        <w:rPr>
          <w:rFonts w:hint="eastAsia" w:ascii="仿宋" w:hAnsi="仿宋" w:eastAsia="仿宋" w:cs="仿宋"/>
          <w:b/>
          <w:bCs/>
          <w:sz w:val="32"/>
          <w:szCs w:val="32"/>
          <w:lang w:eastAsia="zh-CN"/>
        </w:rPr>
        <w:t>精准监管资金</w:t>
      </w:r>
      <w:r>
        <w:rPr>
          <w:rFonts w:hint="eastAsia" w:ascii="仿宋" w:hAnsi="仿宋" w:eastAsia="仿宋" w:cs="仿宋"/>
          <w:b/>
          <w:bCs/>
          <w:sz w:val="32"/>
          <w:szCs w:val="32"/>
        </w:rPr>
        <w:t>。</w:t>
      </w:r>
      <w:r>
        <w:rPr>
          <w:rFonts w:hint="eastAsia" w:ascii="仿宋" w:hAnsi="仿宋" w:eastAsia="仿宋" w:cs="仿宋"/>
          <w:b w:val="0"/>
          <w:bCs w:val="0"/>
          <w:sz w:val="30"/>
          <w:szCs w:val="30"/>
          <w:lang w:val="en-US" w:eastAsia="zh-CN"/>
        </w:rPr>
        <w:t>加强预售资金全程监管，</w:t>
      </w:r>
      <w:r>
        <w:rPr>
          <w:rFonts w:hint="eastAsia" w:ascii="仿宋" w:hAnsi="仿宋" w:eastAsia="仿宋"/>
          <w:sz w:val="30"/>
          <w:szCs w:val="30"/>
          <w:lang w:val="en-US" w:eastAsia="zh-CN"/>
        </w:rPr>
        <w:t>开展</w:t>
      </w:r>
      <w:r>
        <w:rPr>
          <w:rFonts w:hint="eastAsia" w:ascii="仿宋" w:hAnsi="仿宋" w:eastAsia="仿宋" w:cs="仿宋"/>
          <w:b w:val="0"/>
          <w:bCs w:val="0"/>
          <w:sz w:val="32"/>
          <w:szCs w:val="32"/>
          <w:lang w:eastAsia="zh-CN"/>
        </w:rPr>
        <w:t>预售资金专项督查，</w:t>
      </w:r>
      <w:r>
        <w:rPr>
          <w:rFonts w:hint="eastAsia" w:ascii="仿宋" w:hAnsi="仿宋" w:eastAsia="仿宋" w:cs="仿宋"/>
          <w:b w:val="0"/>
          <w:bCs w:val="0"/>
          <w:sz w:val="30"/>
          <w:szCs w:val="30"/>
          <w:lang w:val="en-US" w:eastAsia="zh-CN"/>
        </w:rPr>
        <w:t>深入开展监管项目风险排查。</w:t>
      </w:r>
      <w:r>
        <w:rPr>
          <w:rFonts w:hint="eastAsia" w:ascii="仿宋" w:hAnsi="仿宋" w:eastAsia="仿宋" w:cs="仿宋"/>
          <w:b w:val="0"/>
          <w:bCs w:val="0"/>
          <w:sz w:val="32"/>
          <w:szCs w:val="32"/>
          <w:lang w:eastAsia="zh-CN"/>
        </w:rPr>
        <w:t>全年</w:t>
      </w:r>
      <w:r>
        <w:rPr>
          <w:rFonts w:hint="eastAsia" w:ascii="仿宋" w:hAnsi="仿宋" w:eastAsia="仿宋" w:cs="仿宋"/>
          <w:sz w:val="30"/>
          <w:szCs w:val="30"/>
          <w:lang w:val="en-US" w:eastAsia="zh-CN"/>
        </w:rPr>
        <w:t>签订商品房预售资金监管协议106份，监管面积120.45万平方米，</w:t>
      </w:r>
      <w:r>
        <w:rPr>
          <w:rFonts w:hint="eastAsia" w:ascii="仿宋" w:hAnsi="仿宋" w:eastAsia="仿宋" w:cs="仿宋"/>
          <w:i w:val="0"/>
          <w:iCs w:val="0"/>
          <w:caps w:val="0"/>
          <w:color w:val="333333"/>
          <w:spacing w:val="0"/>
          <w:sz w:val="30"/>
          <w:szCs w:val="30"/>
          <w:shd w:val="clear" w:fill="FFFFFF"/>
          <w:lang w:val="en-US" w:eastAsia="zh-CN"/>
        </w:rPr>
        <w:t>累计</w:t>
      </w:r>
      <w:r>
        <w:rPr>
          <w:rFonts w:hint="eastAsia" w:ascii="仿宋" w:hAnsi="仿宋" w:eastAsia="仿宋" w:cs="仿宋"/>
          <w:sz w:val="30"/>
          <w:szCs w:val="30"/>
          <w:lang w:val="en-US" w:eastAsia="zh-CN"/>
        </w:rPr>
        <w:t>拨付监管资金66.09亿元；</w:t>
      </w:r>
      <w:r>
        <w:rPr>
          <w:rFonts w:hint="eastAsia" w:ascii="仿宋" w:hAnsi="仿宋" w:eastAsia="仿宋" w:cs="仿宋"/>
          <w:color w:val="auto"/>
          <w:spacing w:val="0"/>
          <w:sz w:val="32"/>
          <w:szCs w:val="32"/>
          <w:lang w:eastAsia="zh-CN"/>
        </w:rPr>
        <w:t>严格落实开发项目资本金管理，</w:t>
      </w:r>
      <w:r>
        <w:rPr>
          <w:rFonts w:hint="eastAsia" w:ascii="仿宋" w:hAnsi="仿宋" w:eastAsia="仿宋" w:cs="仿宋"/>
          <w:color w:val="auto"/>
          <w:sz w:val="32"/>
          <w:szCs w:val="32"/>
          <w:lang w:eastAsia="zh-CN"/>
        </w:rPr>
        <w:t>全年</w:t>
      </w:r>
      <w:r>
        <w:rPr>
          <w:rFonts w:hint="eastAsia" w:ascii="仿宋" w:hAnsi="仿宋" w:eastAsia="仿宋" w:cs="仿宋"/>
          <w:color w:val="auto"/>
          <w:sz w:val="32"/>
          <w:szCs w:val="32"/>
        </w:rPr>
        <w:t>办理房地产项目手册25笔，收缴项目资本金2885万元，解控项目资本金83笔，解控项目资本金1.54亿元，同比增长103.77%</w:t>
      </w:r>
      <w:r>
        <w:rPr>
          <w:rFonts w:hint="eastAsia" w:ascii="仿宋" w:hAnsi="仿宋" w:eastAsia="仿宋" w:cs="仿宋"/>
          <w:color w:val="auto"/>
          <w:sz w:val="32"/>
          <w:szCs w:val="32"/>
          <w:lang w:eastAsia="zh-CN"/>
        </w:rPr>
        <w:t>。</w:t>
      </w:r>
      <w:r>
        <w:rPr>
          <w:rFonts w:hint="eastAsia" w:ascii="仿宋" w:hAnsi="仿宋" w:eastAsia="仿宋" w:cs="仿宋"/>
          <w:b/>
          <w:bCs/>
          <w:color w:val="auto"/>
          <w:sz w:val="32"/>
          <w:szCs w:val="32"/>
          <w:lang w:eastAsia="zh-CN"/>
        </w:rPr>
        <w:t>五是</w:t>
      </w:r>
      <w:r>
        <w:rPr>
          <w:rFonts w:hint="eastAsia" w:ascii="仿宋" w:hAnsi="仿宋" w:eastAsia="仿宋" w:cs="仿宋"/>
          <w:b/>
          <w:bCs/>
          <w:sz w:val="32"/>
          <w:szCs w:val="32"/>
          <w:lang w:eastAsia="zh-CN"/>
        </w:rPr>
        <w:t>规范</w:t>
      </w:r>
      <w:r>
        <w:rPr>
          <w:rFonts w:hint="eastAsia" w:ascii="仿宋" w:hAnsi="仿宋" w:eastAsia="仿宋" w:cs="仿宋"/>
          <w:b/>
          <w:bCs/>
          <w:sz w:val="32"/>
          <w:szCs w:val="32"/>
        </w:rPr>
        <w:t>测绘备案</w:t>
      </w:r>
      <w:r>
        <w:rPr>
          <w:rFonts w:hint="eastAsia" w:ascii="仿宋" w:hAnsi="仿宋" w:eastAsia="仿宋" w:cs="仿宋"/>
          <w:b/>
          <w:bCs/>
          <w:sz w:val="32"/>
          <w:szCs w:val="32"/>
          <w:lang w:eastAsia="zh-CN"/>
        </w:rPr>
        <w:t>。</w:t>
      </w:r>
      <w:r>
        <w:rPr>
          <w:rFonts w:hint="eastAsia" w:ascii="仿宋" w:hAnsi="仿宋" w:eastAsia="仿宋" w:cs="仿宋"/>
          <w:color w:val="000000"/>
          <w:sz w:val="32"/>
          <w:szCs w:val="32"/>
          <w:lang w:eastAsia="zh-CN"/>
        </w:rPr>
        <w:t>推进测绘服务改革，</w:t>
      </w:r>
      <w:r>
        <w:rPr>
          <w:rFonts w:hint="eastAsia" w:ascii="仿宋" w:hAnsi="仿宋" w:eastAsia="仿宋" w:cs="仿宋"/>
          <w:color w:val="000000"/>
          <w:sz w:val="32"/>
          <w:szCs w:val="32"/>
        </w:rPr>
        <w:t>实现“数据网上跑，企业跑零次”的工作格局，</w:t>
      </w:r>
      <w:r>
        <w:rPr>
          <w:rFonts w:hint="eastAsia" w:ascii="仿宋" w:hAnsi="仿宋" w:eastAsia="仿宋" w:cs="仿宋"/>
          <w:color w:val="000000"/>
          <w:sz w:val="32"/>
          <w:szCs w:val="32"/>
          <w:lang w:eastAsia="zh-CN"/>
        </w:rPr>
        <w:t>全年</w:t>
      </w:r>
      <w:r>
        <w:rPr>
          <w:rFonts w:hint="eastAsia" w:ascii="仿宋" w:hAnsi="仿宋" w:eastAsia="仿宋" w:cs="仿宋"/>
          <w:sz w:val="32"/>
          <w:szCs w:val="32"/>
        </w:rPr>
        <w:t>完成房产面积测绘成果审核备案</w:t>
      </w:r>
      <w:r>
        <w:rPr>
          <w:rFonts w:hint="eastAsia" w:ascii="仿宋" w:hAnsi="仿宋" w:eastAsia="仿宋" w:cs="仿宋"/>
          <w:sz w:val="32"/>
          <w:szCs w:val="32"/>
          <w:lang w:val="en-US" w:eastAsia="zh-CN"/>
        </w:rPr>
        <w:t>25</w:t>
      </w:r>
      <w:r>
        <w:rPr>
          <w:rFonts w:hint="eastAsia" w:ascii="仿宋" w:hAnsi="仿宋" w:eastAsia="仿宋" w:cs="仿宋"/>
          <w:sz w:val="32"/>
          <w:szCs w:val="32"/>
        </w:rPr>
        <w:t>2宗，确认房屋面积共</w:t>
      </w:r>
      <w:r>
        <w:rPr>
          <w:rFonts w:hint="eastAsia" w:ascii="仿宋" w:hAnsi="仿宋" w:eastAsia="仿宋" w:cs="仿宋"/>
          <w:sz w:val="32"/>
          <w:szCs w:val="32"/>
          <w:lang w:val="en-US" w:eastAsia="zh-CN"/>
        </w:rPr>
        <w:t>838.61</w:t>
      </w:r>
      <w:r>
        <w:rPr>
          <w:rFonts w:hint="eastAsia" w:ascii="仿宋" w:hAnsi="仿宋" w:eastAsia="仿宋" w:cs="仿宋"/>
          <w:sz w:val="32"/>
          <w:szCs w:val="32"/>
        </w:rPr>
        <w:t>万平方米，</w:t>
      </w:r>
      <w:r>
        <w:rPr>
          <w:rFonts w:hint="eastAsia" w:ascii="仿宋" w:hAnsi="仿宋" w:eastAsia="仿宋"/>
          <w:color w:val="auto"/>
          <w:spacing w:val="0"/>
          <w:sz w:val="32"/>
          <w:szCs w:val="32"/>
        </w:rPr>
        <w:t>其中</w:t>
      </w:r>
      <w:r>
        <w:rPr>
          <w:rFonts w:hint="eastAsia" w:ascii="仿宋" w:hAnsi="仿宋" w:eastAsia="仿宋" w:cs="仿宋"/>
          <w:sz w:val="32"/>
          <w:szCs w:val="32"/>
        </w:rPr>
        <w:t>实测绘备案</w:t>
      </w:r>
      <w:r>
        <w:rPr>
          <w:rFonts w:hint="eastAsia" w:ascii="仿宋" w:hAnsi="仿宋" w:eastAsia="仿宋" w:cs="仿宋"/>
          <w:sz w:val="32"/>
          <w:szCs w:val="32"/>
          <w:lang w:val="en-US" w:eastAsia="zh-CN"/>
        </w:rPr>
        <w:t>165件、</w:t>
      </w:r>
      <w:r>
        <w:rPr>
          <w:rFonts w:hint="eastAsia" w:ascii="仿宋" w:hAnsi="仿宋" w:eastAsia="仿宋" w:cs="仿宋"/>
          <w:sz w:val="32"/>
          <w:szCs w:val="32"/>
        </w:rPr>
        <w:t>面积</w:t>
      </w:r>
      <w:r>
        <w:rPr>
          <w:rFonts w:hint="eastAsia" w:ascii="仿宋" w:hAnsi="仿宋" w:eastAsia="仿宋" w:cs="仿宋"/>
          <w:sz w:val="32"/>
          <w:szCs w:val="32"/>
          <w:lang w:val="en-US" w:eastAsia="zh-CN"/>
        </w:rPr>
        <w:t>638.64</w:t>
      </w:r>
      <w:r>
        <w:rPr>
          <w:rFonts w:hint="eastAsia" w:ascii="仿宋" w:hAnsi="仿宋" w:eastAsia="仿宋" w:cs="仿宋"/>
          <w:sz w:val="32"/>
          <w:szCs w:val="32"/>
        </w:rPr>
        <w:t>万平方米，预测绘备案</w:t>
      </w:r>
      <w:r>
        <w:rPr>
          <w:rFonts w:hint="eastAsia" w:ascii="仿宋" w:hAnsi="仿宋" w:eastAsia="仿宋" w:cs="仿宋"/>
          <w:sz w:val="32"/>
          <w:szCs w:val="32"/>
          <w:lang w:val="en-US" w:eastAsia="zh-CN"/>
        </w:rPr>
        <w:t>87件、</w:t>
      </w:r>
      <w:r>
        <w:rPr>
          <w:rFonts w:hint="eastAsia" w:ascii="仿宋" w:hAnsi="仿宋" w:eastAsia="仿宋" w:cs="仿宋"/>
          <w:sz w:val="32"/>
          <w:szCs w:val="32"/>
        </w:rPr>
        <w:t>面积</w:t>
      </w:r>
      <w:r>
        <w:rPr>
          <w:rFonts w:hint="eastAsia" w:ascii="仿宋" w:hAnsi="仿宋" w:eastAsia="仿宋" w:cs="仿宋"/>
          <w:sz w:val="32"/>
          <w:szCs w:val="32"/>
          <w:lang w:val="en-US" w:eastAsia="zh-CN"/>
        </w:rPr>
        <w:t>199.97</w:t>
      </w:r>
      <w:r>
        <w:rPr>
          <w:rFonts w:hint="eastAsia" w:ascii="仿宋" w:hAnsi="仿宋" w:eastAsia="仿宋" w:cs="仿宋"/>
          <w:sz w:val="32"/>
          <w:szCs w:val="32"/>
        </w:rPr>
        <w:t>万平方米</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六是配合做好住房制度改革。</w:t>
      </w:r>
      <w:r>
        <w:rPr>
          <w:rFonts w:hint="eastAsia" w:ascii="仿宋" w:hAnsi="仿宋" w:eastAsia="仿宋" w:cs="仿宋_GB2312"/>
          <w:kern w:val="2"/>
          <w:sz w:val="32"/>
          <w:szCs w:val="32"/>
          <w:lang w:val="en-US" w:eastAsia="zh-CN"/>
        </w:rPr>
        <w:t>开具未享受福利性住房和住房补贴政策证明317起，审批出售经济适用住房539套、面积38554.78平方米，房改房37套、建筑面积1886.97平方米，受理经济适用住房遗留问题176套，已完成初审工作。</w:t>
      </w:r>
    </w:p>
    <w:p w14:paraId="12C7D9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color w:val="auto"/>
          <w:spacing w:val="0"/>
          <w:kern w:val="2"/>
          <w:sz w:val="32"/>
          <w:szCs w:val="32"/>
          <w:lang w:val="en-US" w:eastAsia="zh-CN" w:bidi="ar-SA"/>
        </w:rPr>
      </w:pPr>
      <w:r>
        <w:rPr>
          <w:rFonts w:hint="eastAsia" w:ascii="楷体" w:hAnsi="楷体" w:eastAsia="楷体" w:cs="楷体"/>
          <w:b/>
          <w:bCs/>
          <w:color w:val="auto"/>
          <w:spacing w:val="0"/>
          <w:kern w:val="2"/>
          <w:sz w:val="32"/>
          <w:szCs w:val="32"/>
          <w:lang w:val="en-US" w:eastAsia="zh-CN" w:bidi="ar-SA"/>
        </w:rPr>
        <w:t>（二）夯实基础，立足保障能力提质增效</w:t>
      </w:r>
    </w:p>
    <w:p w14:paraId="09C592A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一是建章立制规范“两房”管理。</w:t>
      </w:r>
      <w:r>
        <w:rPr>
          <w:rFonts w:hint="eastAsia" w:ascii="仿宋_GB2312" w:hAnsi="Calibri" w:eastAsia="仿宋_GB2312" w:cs="仿宋_GB2312"/>
          <w:b w:val="0"/>
          <w:bCs w:val="0"/>
          <w:i w:val="0"/>
          <w:caps w:val="0"/>
          <w:color w:val="auto"/>
          <w:spacing w:val="0"/>
          <w:kern w:val="2"/>
          <w:sz w:val="32"/>
          <w:szCs w:val="32"/>
          <w:lang w:val="en-US" w:eastAsia="zh-CN" w:bidi="ar"/>
        </w:rPr>
        <w:t>针对“两房”</w:t>
      </w:r>
      <w:r>
        <w:rPr>
          <w:rFonts w:hint="default" w:ascii="仿宋_GB2312" w:hAnsi="Calibri" w:eastAsia="仿宋_GB2312" w:cs="仿宋_GB2312"/>
          <w:b w:val="0"/>
          <w:bCs w:val="0"/>
          <w:i w:val="0"/>
          <w:caps w:val="0"/>
          <w:color w:val="auto"/>
          <w:spacing w:val="0"/>
          <w:kern w:val="2"/>
          <w:sz w:val="32"/>
          <w:szCs w:val="32"/>
          <w:lang w:val="en-US" w:eastAsia="zh-CN" w:bidi="ar"/>
        </w:rPr>
        <w:t>审计中发现的问题，</w:t>
      </w:r>
      <w:r>
        <w:rPr>
          <w:rFonts w:hint="eastAsia" w:ascii="仿宋" w:hAnsi="仿宋" w:eastAsia="仿宋" w:cs="仿宋"/>
          <w:color w:val="auto"/>
          <w:sz w:val="32"/>
          <w:szCs w:val="32"/>
          <w:lang w:val="en-US" w:eastAsia="zh-CN"/>
        </w:rPr>
        <w:t>积极落实</w:t>
      </w:r>
      <w:r>
        <w:rPr>
          <w:rFonts w:hint="default" w:ascii="仿宋_GB2312" w:hAnsi="Calibri" w:eastAsia="仿宋_GB2312" w:cs="仿宋_GB2312"/>
          <w:b w:val="0"/>
          <w:bCs w:val="0"/>
          <w:i w:val="0"/>
          <w:caps w:val="0"/>
          <w:color w:val="auto"/>
          <w:spacing w:val="0"/>
          <w:kern w:val="2"/>
          <w:sz w:val="32"/>
          <w:szCs w:val="32"/>
          <w:lang w:val="en-US" w:eastAsia="zh-CN" w:bidi="ar"/>
        </w:rPr>
        <w:t>审计意见，进一步规范公租房管理制度，</w:t>
      </w:r>
      <w:r>
        <w:rPr>
          <w:rFonts w:hint="eastAsia" w:ascii="仿宋" w:hAnsi="仿宋" w:eastAsia="仿宋" w:cs="仿宋"/>
          <w:color w:val="auto"/>
          <w:sz w:val="32"/>
          <w:szCs w:val="32"/>
          <w:lang w:val="en-US" w:eastAsia="zh-CN"/>
        </w:rPr>
        <w:t>全面修订《衡阳市公共租赁住房管理办法》《衡阳市直管公房管理办法》，制定出台《关于进一步加强市本级公租房和直管公房管理工作的通知》，全方面打牢制度“补丁”。</w:t>
      </w:r>
      <w:r>
        <w:rPr>
          <w:rFonts w:hint="eastAsia" w:ascii="仿宋" w:hAnsi="仿宋" w:eastAsia="仿宋" w:cs="仿宋"/>
          <w:b/>
          <w:bCs/>
          <w:sz w:val="32"/>
          <w:szCs w:val="32"/>
          <w:lang w:val="en-US" w:eastAsia="zh-CN"/>
        </w:rPr>
        <w:t>二是夯实基础增强保障能力。</w:t>
      </w:r>
      <w:r>
        <w:rPr>
          <w:rFonts w:hint="eastAsia" w:ascii="仿宋" w:hAnsi="仿宋" w:eastAsia="仿宋" w:cs="仿宋"/>
          <w:b w:val="0"/>
          <w:bCs w:val="0"/>
          <w:color w:val="auto"/>
          <w:spacing w:val="0"/>
          <w:sz w:val="32"/>
          <w:szCs w:val="32"/>
          <w:lang w:eastAsia="zh-CN"/>
        </w:rPr>
        <w:t>强力推进移交分房，</w:t>
      </w:r>
      <w:r>
        <w:rPr>
          <w:rFonts w:hint="eastAsia" w:ascii="仿宋" w:hAnsi="仿宋" w:eastAsia="仿宋" w:cs="仿宋"/>
          <w:color w:val="auto"/>
          <w:spacing w:val="0"/>
          <w:sz w:val="32"/>
          <w:szCs w:val="32"/>
          <w:lang w:val="en-US" w:eastAsia="zh-CN"/>
        </w:rPr>
        <w:t>轮候对象住房问题稳妥化解，租金收入大幅增长。督促城区</w:t>
      </w:r>
      <w:r>
        <w:rPr>
          <w:rFonts w:hint="eastAsia" w:ascii="仿宋" w:hAnsi="仿宋" w:eastAsia="仿宋" w:cs="Times New Roman"/>
          <w:sz w:val="32"/>
          <w:szCs w:val="32"/>
          <w:lang w:val="en-US" w:eastAsia="zh-CN"/>
        </w:rPr>
        <w:t>1859</w:t>
      </w:r>
      <w:r>
        <w:rPr>
          <w:rFonts w:hint="eastAsia" w:ascii="仿宋" w:hAnsi="仿宋" w:eastAsia="仿宋" w:cs="仿宋"/>
          <w:b w:val="0"/>
          <w:bCs w:val="0"/>
          <w:color w:val="auto"/>
          <w:spacing w:val="0"/>
          <w:sz w:val="32"/>
          <w:szCs w:val="32"/>
          <w:lang w:val="en-US" w:eastAsia="zh-CN"/>
        </w:rPr>
        <w:t>套房源摇号分配到位，</w:t>
      </w:r>
      <w:r>
        <w:rPr>
          <w:rFonts w:hint="eastAsia" w:ascii="仿宋" w:hAnsi="仿宋" w:eastAsia="仿宋" w:cs="仿宋"/>
          <w:b w:val="0"/>
          <w:bCs w:val="0"/>
          <w:sz w:val="32"/>
          <w:szCs w:val="32"/>
          <w:lang w:val="en-US" w:eastAsia="zh-CN"/>
        </w:rPr>
        <w:t>保障性住房租赁补贴</w:t>
      </w:r>
      <w:r>
        <w:rPr>
          <w:rFonts w:hint="eastAsia" w:ascii="仿宋" w:hAnsi="仿宋" w:eastAsia="仿宋" w:cs="Times New Roman"/>
          <w:sz w:val="32"/>
          <w:szCs w:val="32"/>
          <w:lang w:val="en-US" w:eastAsia="zh-CN"/>
        </w:rPr>
        <w:t>依</w:t>
      </w:r>
      <w:r>
        <w:rPr>
          <w:rFonts w:hint="eastAsia" w:ascii="仿宋" w:hAnsi="仿宋" w:eastAsia="仿宋" w:cs="仿宋"/>
          <w:b w:val="0"/>
          <w:bCs w:val="0"/>
          <w:sz w:val="32"/>
          <w:szCs w:val="32"/>
          <w:lang w:val="en-US" w:eastAsia="zh-CN"/>
        </w:rPr>
        <w:t>规发放，</w:t>
      </w:r>
      <w:r>
        <w:rPr>
          <w:rFonts w:hint="eastAsia" w:ascii="仿宋" w:hAnsi="仿宋" w:eastAsia="仿宋" w:cs="Times New Roman"/>
          <w:sz w:val="32"/>
          <w:szCs w:val="32"/>
          <w:lang w:val="en-US" w:eastAsia="zh-CN"/>
        </w:rPr>
        <w:t>全年累计发放租赁补贴2694户，金额133.88万元</w:t>
      </w:r>
      <w:r>
        <w:rPr>
          <w:rFonts w:hint="eastAsia" w:ascii="仿宋" w:hAnsi="仿宋" w:eastAsia="仿宋" w:cs="仿宋"/>
          <w:b w:val="0"/>
          <w:bCs w:val="0"/>
          <w:sz w:val="32"/>
          <w:szCs w:val="32"/>
          <w:lang w:val="en-US" w:eastAsia="zh-CN"/>
        </w:rPr>
        <w:t>；全年收取公租房租金2504.68万元，同比增长27%，直管公房租金981.22万元，同比增长43%；收缴直管公房、公租房欠租户2498户，欠缴租金297.52万元，</w:t>
      </w:r>
      <w:r>
        <w:rPr>
          <w:rFonts w:hint="eastAsia" w:ascii="仿宋" w:hAnsi="仿宋" w:eastAsia="仿宋" w:cs="仿宋"/>
          <w:color w:val="auto"/>
          <w:spacing w:val="0"/>
          <w:sz w:val="32"/>
          <w:szCs w:val="32"/>
          <w:lang w:val="en-US" w:eastAsia="zh-CN"/>
        </w:rPr>
        <w:t>实现国有资产高效利用。</w:t>
      </w:r>
      <w:r>
        <w:rPr>
          <w:rFonts w:hint="eastAsia" w:ascii="仿宋" w:hAnsi="仿宋" w:eastAsia="仿宋" w:cs="仿宋"/>
          <w:b/>
          <w:bCs/>
          <w:sz w:val="32"/>
          <w:szCs w:val="32"/>
          <w:lang w:val="en-US" w:eastAsia="zh-CN"/>
        </w:rPr>
        <w:t>三是摸清底数清理遗留问题。</w:t>
      </w:r>
      <w:r>
        <w:rPr>
          <w:rFonts w:hint="eastAsia" w:ascii="仿宋" w:hAnsi="仿宋" w:eastAsia="仿宋" w:cs="仿宋"/>
          <w:color w:val="auto"/>
          <w:sz w:val="32"/>
          <w:szCs w:val="32"/>
          <w:lang w:val="en-US" w:eastAsia="zh-CN"/>
        </w:rPr>
        <w:t>加快推进“两房”产权办证工作</w:t>
      </w:r>
      <w:r>
        <w:rPr>
          <w:rFonts w:hint="eastAsia" w:ascii="仿宋" w:hAnsi="仿宋" w:eastAsia="仿宋" w:cs="仿宋"/>
          <w:sz w:val="32"/>
          <w:szCs w:val="32"/>
        </w:rPr>
        <w:t>，已办理产权3000余套</w:t>
      </w:r>
      <w:r>
        <w:rPr>
          <w:rFonts w:hint="eastAsia" w:ascii="仿宋" w:hAnsi="仿宋" w:eastAsia="仿宋" w:cs="仿宋"/>
          <w:sz w:val="32"/>
          <w:szCs w:val="32"/>
          <w:lang w:eastAsia="zh-CN"/>
        </w:rPr>
        <w:t>，</w:t>
      </w:r>
      <w:r>
        <w:rPr>
          <w:rFonts w:hint="eastAsia" w:ascii="仿宋" w:hAnsi="仿宋" w:eastAsia="仿宋" w:cs="仿宋"/>
          <w:bCs/>
          <w:sz w:val="32"/>
          <w:szCs w:val="32"/>
        </w:rPr>
        <w:t>完成全部保障性住房小区304幢，面积141.63万平方米“三测”工作，</w:t>
      </w:r>
      <w:r>
        <w:rPr>
          <w:rFonts w:hint="eastAsia" w:ascii="仿宋" w:hAnsi="仿宋" w:eastAsia="仿宋" w:cs="Times New Roman"/>
          <w:sz w:val="32"/>
          <w:szCs w:val="32"/>
          <w:lang w:val="en-US" w:eastAsia="zh-CN"/>
        </w:rPr>
        <w:t>梳理城区19个公租房小区、7566套直管公房办证堵点，报告市政府，积极协调推进。</w:t>
      </w:r>
      <w:r>
        <w:rPr>
          <w:rFonts w:hint="eastAsia" w:ascii="仿宋" w:hAnsi="仿宋" w:eastAsia="仿宋" w:cs="仿宋"/>
          <w:color w:val="auto"/>
          <w:sz w:val="32"/>
          <w:szCs w:val="32"/>
          <w:lang w:val="en-US" w:eastAsia="zh-CN"/>
        </w:rPr>
        <w:t>出台《衡阳市城区直管公房出售工作方案》，完成第一批共42套(公私混合产权)房屋买卖手续审核并上报市政府批准，收取购房款143万元，住户已陆续办证。</w:t>
      </w:r>
      <w:r>
        <w:rPr>
          <w:rFonts w:hint="eastAsia" w:ascii="仿宋" w:hAnsi="仿宋" w:eastAsia="仿宋" w:cs="仿宋"/>
          <w:b/>
          <w:bCs/>
          <w:i w:val="0"/>
          <w:iCs w:val="0"/>
          <w:color w:val="auto"/>
          <w:sz w:val="32"/>
          <w:szCs w:val="32"/>
          <w:lang w:val="en-US" w:eastAsia="zh-CN"/>
        </w:rPr>
        <w:t>四是优化环境提升居住品质。</w:t>
      </w:r>
      <w:r>
        <w:rPr>
          <w:rFonts w:hint="eastAsia" w:ascii="仿宋_GB2312" w:hAnsi="仿宋_GB2312" w:eastAsia="仿宋_GB2312" w:cs="仿宋_GB2312"/>
          <w:b w:val="0"/>
          <w:bCs/>
          <w:color w:val="auto"/>
          <w:spacing w:val="0"/>
          <w:sz w:val="32"/>
          <w:szCs w:val="32"/>
          <w:lang w:val="en-US" w:eastAsia="zh-CN"/>
        </w:rPr>
        <w:t>不断完善公租房小区基础配套设施，增强小区安防保障，推进消防整改，改善小区人居环境。</w:t>
      </w:r>
      <w:r>
        <w:rPr>
          <w:rFonts w:hint="eastAsia" w:ascii="仿宋" w:hAnsi="仿宋" w:eastAsia="仿宋" w:cs="仿宋"/>
          <w:color w:val="auto"/>
          <w:sz w:val="32"/>
          <w:szCs w:val="32"/>
          <w:lang w:val="en-US" w:eastAsia="zh-CN"/>
        </w:rPr>
        <w:t>累计投入2200余万元推进公租房重大维护项目，完成</w:t>
      </w:r>
      <w:r>
        <w:rPr>
          <w:rFonts w:hint="eastAsia" w:ascii="仿宋" w:hAnsi="仿宋" w:eastAsia="仿宋" w:cs="仿宋"/>
          <w:sz w:val="32"/>
          <w:szCs w:val="32"/>
          <w:lang w:eastAsia="zh-CN"/>
        </w:rPr>
        <w:t>日常</w:t>
      </w:r>
      <w:r>
        <w:rPr>
          <w:rFonts w:hint="eastAsia" w:ascii="仿宋" w:hAnsi="仿宋" w:eastAsia="仿宋" w:cs="仿宋"/>
          <w:sz w:val="32"/>
          <w:szCs w:val="32"/>
        </w:rPr>
        <w:t>维护项目审核</w:t>
      </w:r>
      <w:r>
        <w:rPr>
          <w:rFonts w:hint="eastAsia" w:ascii="仿宋" w:hAnsi="仿宋" w:eastAsia="仿宋" w:cs="仿宋"/>
          <w:sz w:val="32"/>
          <w:szCs w:val="32"/>
          <w:lang w:val="en-US" w:eastAsia="zh-CN"/>
        </w:rPr>
        <w:t>662</w:t>
      </w:r>
      <w:r>
        <w:rPr>
          <w:rFonts w:hint="eastAsia" w:ascii="仿宋" w:hAnsi="仿宋" w:eastAsia="仿宋" w:cs="仿宋"/>
          <w:sz w:val="32"/>
          <w:szCs w:val="32"/>
        </w:rPr>
        <w:t>项，维修点</w:t>
      </w:r>
      <w:r>
        <w:rPr>
          <w:rFonts w:hint="eastAsia" w:ascii="仿宋" w:hAnsi="仿宋" w:eastAsia="仿宋" w:cs="仿宋"/>
          <w:sz w:val="32"/>
          <w:szCs w:val="32"/>
          <w:lang w:val="en-US" w:eastAsia="zh-CN"/>
        </w:rPr>
        <w:t>2186</w:t>
      </w:r>
      <w:r>
        <w:rPr>
          <w:rFonts w:hint="eastAsia" w:ascii="仿宋" w:hAnsi="仿宋" w:eastAsia="仿宋" w:cs="仿宋"/>
          <w:sz w:val="32"/>
          <w:szCs w:val="32"/>
        </w:rPr>
        <w:t>处，</w:t>
      </w:r>
      <w:r>
        <w:rPr>
          <w:rFonts w:hint="eastAsia" w:ascii="仿宋" w:hAnsi="仿宋" w:eastAsia="仿宋" w:cs="仿宋"/>
          <w:sz w:val="32"/>
          <w:szCs w:val="32"/>
          <w:lang w:eastAsia="zh-CN"/>
        </w:rPr>
        <w:t>投入</w:t>
      </w:r>
      <w:r>
        <w:rPr>
          <w:rFonts w:hint="eastAsia" w:ascii="仿宋" w:hAnsi="仿宋" w:eastAsia="仿宋" w:cs="仿宋"/>
          <w:sz w:val="32"/>
          <w:szCs w:val="32"/>
        </w:rPr>
        <w:t>资金</w:t>
      </w:r>
      <w:r>
        <w:rPr>
          <w:rFonts w:hint="eastAsia" w:ascii="仿宋" w:hAnsi="仿宋" w:eastAsia="仿宋" w:cs="仿宋"/>
          <w:sz w:val="32"/>
          <w:szCs w:val="32"/>
          <w:lang w:val="en-US" w:eastAsia="zh-CN"/>
        </w:rPr>
        <w:t>715</w:t>
      </w:r>
      <w:r>
        <w:rPr>
          <w:rFonts w:hint="eastAsia" w:ascii="仿宋" w:hAnsi="仿宋" w:eastAsia="仿宋" w:cs="仿宋"/>
          <w:sz w:val="32"/>
          <w:szCs w:val="32"/>
        </w:rPr>
        <w:t>万元。</w:t>
      </w:r>
      <w:r>
        <w:rPr>
          <w:rFonts w:hint="eastAsia" w:ascii="仿宋_GB2312" w:hAnsi="仿宋_GB2312" w:eastAsia="仿宋_GB2312" w:cs="仿宋_GB2312"/>
          <w:b w:val="0"/>
          <w:bCs/>
          <w:color w:val="auto"/>
          <w:spacing w:val="0"/>
          <w:sz w:val="32"/>
          <w:szCs w:val="32"/>
          <w:lang w:val="en-US" w:eastAsia="zh-CN"/>
        </w:rPr>
        <w:t>全力推进奇峰苑二期创建省级公租房示范小区建设，</w:t>
      </w:r>
      <w:r>
        <w:rPr>
          <w:rFonts w:hint="eastAsia" w:ascii="仿宋" w:hAnsi="仿宋" w:eastAsia="仿宋" w:cs="仿宋"/>
          <w:color w:val="auto"/>
          <w:sz w:val="32"/>
          <w:szCs w:val="32"/>
          <w:lang w:val="en-US" w:eastAsia="zh-CN"/>
        </w:rPr>
        <w:t>目前项目建设</w:t>
      </w:r>
      <w:r>
        <w:rPr>
          <w:rFonts w:hint="eastAsia" w:ascii="仿宋" w:hAnsi="仿宋" w:eastAsia="仿宋"/>
          <w:sz w:val="32"/>
          <w:szCs w:val="32"/>
          <w:lang w:val="en-US" w:eastAsia="zh-CN"/>
        </w:rPr>
        <w:t>施工已经进入扫尾阶段。</w:t>
      </w:r>
    </w:p>
    <w:p w14:paraId="1FBE79A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600" w:lineRule="exact"/>
        <w:ind w:leftChars="0" w:right="0" w:firstLine="643" w:firstLineChars="200"/>
        <w:jc w:val="both"/>
        <w:textAlignment w:val="baseline"/>
        <w:rPr>
          <w:rFonts w:hint="eastAsia" w:ascii="仿宋" w:hAnsi="仿宋" w:eastAsia="仿宋" w:cs="仿宋"/>
          <w:color w:val="auto"/>
          <w:spacing w:val="0"/>
          <w:sz w:val="32"/>
          <w:szCs w:val="32"/>
          <w:lang w:val="en-US" w:eastAsia="zh-CN"/>
        </w:rPr>
      </w:pPr>
      <w:r>
        <w:rPr>
          <w:rFonts w:hint="eastAsia" w:ascii="楷体" w:hAnsi="楷体" w:eastAsia="楷体" w:cs="楷体"/>
          <w:b/>
          <w:bCs/>
          <w:color w:val="auto"/>
          <w:spacing w:val="0"/>
          <w:kern w:val="2"/>
          <w:sz w:val="32"/>
          <w:szCs w:val="32"/>
          <w:lang w:val="en-US" w:eastAsia="zh-CN" w:bidi="ar-SA"/>
        </w:rPr>
        <w:t>（三）突出民本，立足民生根本履职尽责</w:t>
      </w:r>
    </w:p>
    <w:p w14:paraId="64EF4E9B">
      <w:pPr>
        <w:keepNext w:val="0"/>
        <w:keepLines w:val="0"/>
        <w:pageBreakBefore w:val="0"/>
        <w:widowControl w:val="0"/>
        <w:kinsoku/>
        <w:wordWrap/>
        <w:overflowPunct/>
        <w:topLinePunct w:val="0"/>
        <w:autoSpaceDN/>
        <w:bidi w:val="0"/>
        <w:adjustRightInd/>
        <w:snapToGrid/>
        <w:spacing w:line="600" w:lineRule="exact"/>
        <w:ind w:firstLine="643" w:firstLineChars="200"/>
        <w:rPr>
          <w:rFonts w:hint="eastAsia" w:ascii="仿宋" w:hAnsi="仿宋" w:eastAsia="仿宋" w:cs="仿宋"/>
          <w:b w:val="0"/>
          <w:bCs w:val="0"/>
          <w:sz w:val="32"/>
          <w:szCs w:val="32"/>
          <w:lang w:val="en-US" w:eastAsia="zh-CN"/>
        </w:rPr>
      </w:pPr>
      <w:r>
        <w:rPr>
          <w:rFonts w:hint="eastAsia" w:ascii="仿宋" w:hAnsi="仿宋" w:eastAsia="仿宋" w:cs="仿宋"/>
          <w:b/>
          <w:bCs/>
          <w:spacing w:val="0"/>
          <w:sz w:val="32"/>
          <w:szCs w:val="32"/>
          <w:lang w:val="en-US" w:eastAsia="zh-CN"/>
        </w:rPr>
        <w:t>一是统筹抓好城区安置工作。</w:t>
      </w:r>
      <w:r>
        <w:rPr>
          <w:rFonts w:hint="eastAsia" w:ascii="Times New Roman" w:hAnsi="Times New Roman" w:eastAsia="仿宋_GB2312"/>
          <w:spacing w:val="6"/>
          <w:sz w:val="32"/>
          <w:szCs w:val="32"/>
          <w:lang w:eastAsia="zh-CN"/>
        </w:rPr>
        <w:t>开展</w:t>
      </w:r>
      <w:r>
        <w:rPr>
          <w:rFonts w:ascii="Times New Roman" w:hAnsi="Times New Roman" w:eastAsia="仿宋_GB2312"/>
          <w:spacing w:val="6"/>
          <w:sz w:val="32"/>
          <w:szCs w:val="32"/>
        </w:rPr>
        <w:t>多次摸底调研，</w:t>
      </w:r>
      <w:r>
        <w:rPr>
          <w:rFonts w:hint="eastAsia" w:ascii="仿宋" w:hAnsi="仿宋" w:eastAsia="仿宋" w:cs="楷体"/>
          <w:sz w:val="32"/>
          <w:szCs w:val="32"/>
        </w:rPr>
        <w:t>全面</w:t>
      </w:r>
      <w:r>
        <w:rPr>
          <w:rFonts w:hint="eastAsia" w:ascii="仿宋_GB2312" w:hAnsi="楷体" w:eastAsia="仿宋_GB2312" w:cs="仿宋_GB2312"/>
          <w:sz w:val="32"/>
          <w:szCs w:val="32"/>
        </w:rPr>
        <w:t>摸清底数，</w:t>
      </w:r>
      <w:r>
        <w:rPr>
          <w:rFonts w:hint="eastAsia" w:ascii="仿宋_GB2312" w:hAnsi="楷体" w:eastAsia="仿宋_GB2312" w:cs="仿宋_GB2312"/>
          <w:sz w:val="32"/>
          <w:szCs w:val="32"/>
          <w:lang w:eastAsia="zh-CN"/>
        </w:rPr>
        <w:t>出台</w:t>
      </w:r>
      <w:r>
        <w:rPr>
          <w:rFonts w:ascii="仿宋" w:hAnsi="仿宋" w:eastAsia="仿宋"/>
          <w:sz w:val="32"/>
          <w:szCs w:val="32"/>
        </w:rPr>
        <w:t>《衡阳市城区拆迁安置遗留问题三年攻坚行动方案》</w:t>
      </w:r>
      <w:r>
        <w:rPr>
          <w:rFonts w:hint="eastAsia" w:ascii="仿宋" w:hAnsi="仿宋" w:eastAsia="仿宋"/>
          <w:sz w:val="32"/>
          <w:szCs w:val="32"/>
          <w:lang w:eastAsia="zh-CN"/>
        </w:rPr>
        <w:t>，严格对标对表推进城区拆迁安置工作，强化现场督查督</w:t>
      </w:r>
      <w:r>
        <w:rPr>
          <w:rFonts w:hint="eastAsia" w:ascii="仿宋" w:hAnsi="仿宋" w:eastAsia="仿宋" w:cs="仿宋"/>
          <w:color w:val="auto"/>
          <w:sz w:val="32"/>
          <w:szCs w:val="32"/>
          <w:lang w:eastAsia="zh-CN"/>
        </w:rPr>
        <w:t>办，积极与各区政府对接协调，今年实际</w:t>
      </w:r>
      <w:r>
        <w:rPr>
          <w:rFonts w:hint="eastAsia" w:ascii="仿宋" w:hAnsi="仿宋" w:eastAsia="仿宋" w:cs="仿宋"/>
          <w:color w:val="auto"/>
          <w:sz w:val="32"/>
          <w:szCs w:val="32"/>
        </w:rPr>
        <w:t>建成安置房12028套144.3万</w:t>
      </w:r>
      <w:r>
        <w:rPr>
          <w:rFonts w:hint="eastAsia" w:ascii="仿宋" w:hAnsi="仿宋" w:eastAsia="仿宋" w:cs="仿宋"/>
          <w:color w:val="auto"/>
          <w:sz w:val="32"/>
          <w:szCs w:val="32"/>
          <w:lang w:eastAsia="zh-CN"/>
        </w:rPr>
        <w:t>平方米</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累计</w:t>
      </w:r>
      <w:r>
        <w:rPr>
          <w:rFonts w:hint="eastAsia" w:ascii="仿宋" w:hAnsi="仿宋" w:eastAsia="仿宋" w:cs="仿宋"/>
          <w:color w:val="auto"/>
          <w:sz w:val="32"/>
          <w:szCs w:val="32"/>
        </w:rPr>
        <w:t>分配5259套68.3万</w:t>
      </w:r>
      <w:r>
        <w:rPr>
          <w:rFonts w:hint="eastAsia" w:ascii="仿宋" w:hAnsi="仿宋" w:eastAsia="仿宋" w:cs="仿宋"/>
          <w:color w:val="auto"/>
          <w:sz w:val="32"/>
          <w:szCs w:val="32"/>
          <w:lang w:eastAsia="zh-CN"/>
        </w:rPr>
        <w:t>平方米</w:t>
      </w:r>
      <w:r>
        <w:rPr>
          <w:rFonts w:hint="eastAsia" w:ascii="仿宋" w:hAnsi="仿宋" w:eastAsia="仿宋" w:cs="仿宋"/>
          <w:color w:val="auto"/>
          <w:sz w:val="32"/>
          <w:szCs w:val="32"/>
        </w:rPr>
        <w:t>，任务完成率175.3%</w:t>
      </w:r>
      <w:r>
        <w:rPr>
          <w:rFonts w:hint="eastAsia" w:ascii="仿宋" w:hAnsi="仿宋" w:eastAsia="仿宋" w:cs="仿宋"/>
          <w:color w:val="auto"/>
          <w:sz w:val="32"/>
          <w:szCs w:val="32"/>
          <w:lang w:eastAsia="zh-CN"/>
        </w:rPr>
        <w:t>。</w:t>
      </w:r>
      <w:r>
        <w:rPr>
          <w:rFonts w:hint="eastAsia" w:ascii="仿宋" w:hAnsi="仿宋" w:eastAsia="仿宋" w:cs="仿宋"/>
          <w:bCs/>
          <w:color w:val="auto"/>
          <w:sz w:val="32"/>
          <w:szCs w:val="32"/>
        </w:rPr>
        <w:t>大力推行货币化安置模式，</w:t>
      </w:r>
      <w:r>
        <w:rPr>
          <w:rFonts w:hint="eastAsia" w:ascii="仿宋" w:hAnsi="仿宋" w:eastAsia="仿宋" w:cs="仿宋"/>
          <w:bCs/>
          <w:color w:val="auto"/>
          <w:sz w:val="32"/>
          <w:szCs w:val="32"/>
          <w:lang w:eastAsia="zh-CN"/>
        </w:rPr>
        <w:t>探索团购房安置模式，完成</w:t>
      </w:r>
      <w:r>
        <w:rPr>
          <w:rFonts w:hint="default" w:ascii="仿宋" w:hAnsi="仿宋" w:eastAsia="仿宋" w:cs="仿宋"/>
          <w:bCs/>
          <w:color w:val="auto"/>
          <w:sz w:val="32"/>
          <w:szCs w:val="32"/>
          <w:lang w:val="en" w:eastAsia="zh-CN"/>
        </w:rPr>
        <w:t>2</w:t>
      </w:r>
      <w:r>
        <w:rPr>
          <w:rFonts w:hint="eastAsia" w:ascii="仿宋" w:hAnsi="仿宋" w:eastAsia="仿宋" w:cs="仿宋"/>
          <w:bCs/>
          <w:color w:val="auto"/>
          <w:sz w:val="32"/>
          <w:szCs w:val="32"/>
          <w:lang w:val="en-US" w:eastAsia="zh-CN"/>
        </w:rPr>
        <w:t>个团购房安置项目，安置拆迁项目4个，累计分配216套2.69万平方米</w:t>
      </w:r>
      <w:r>
        <w:rPr>
          <w:rFonts w:hint="eastAsia" w:ascii="仿宋" w:hAnsi="仿宋" w:eastAsia="仿宋" w:cs="仿宋"/>
          <w:bCs/>
          <w:color w:val="auto"/>
          <w:sz w:val="32"/>
          <w:szCs w:val="32"/>
        </w:rPr>
        <w:t>。</w:t>
      </w:r>
      <w:r>
        <w:rPr>
          <w:rFonts w:hint="eastAsia" w:ascii="仿宋" w:hAnsi="仿宋" w:eastAsia="仿宋" w:cs="仿宋"/>
          <w:b/>
          <w:bCs/>
          <w:sz w:val="32"/>
          <w:szCs w:val="32"/>
          <w:lang w:val="en-US" w:eastAsia="zh-CN"/>
        </w:rPr>
        <w:t>二是稳步推进智慧住保建设</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着力做好智慧住保</w:t>
      </w:r>
      <w:r>
        <w:rPr>
          <w:rFonts w:hint="eastAsia" w:ascii="仿宋" w:hAnsi="仿宋" w:eastAsia="仿宋"/>
          <w:sz w:val="32"/>
          <w:szCs w:val="32"/>
        </w:rPr>
        <w:t>数据保障和体系支撑</w:t>
      </w:r>
      <w:r>
        <w:rPr>
          <w:rFonts w:hint="eastAsia" w:ascii="仿宋" w:hAnsi="仿宋" w:eastAsia="仿宋"/>
          <w:sz w:val="32"/>
          <w:szCs w:val="32"/>
          <w:lang w:eastAsia="zh-CN"/>
        </w:rPr>
        <w:t>，推进</w:t>
      </w:r>
      <w:r>
        <w:rPr>
          <w:rFonts w:hint="eastAsia" w:ascii="仿宋" w:hAnsi="仿宋" w:eastAsia="仿宋" w:cs="仿宋"/>
          <w:sz w:val="32"/>
          <w:szCs w:val="32"/>
        </w:rPr>
        <w:t>住保云建设</w:t>
      </w:r>
      <w:r>
        <w:rPr>
          <w:rFonts w:hint="eastAsia" w:ascii="仿宋" w:hAnsi="仿宋" w:eastAsia="仿宋" w:cs="仿宋"/>
          <w:sz w:val="32"/>
          <w:szCs w:val="32"/>
          <w:lang w:eastAsia="zh-CN"/>
        </w:rPr>
        <w:t>，目前已</w:t>
      </w:r>
      <w:r>
        <w:rPr>
          <w:rFonts w:hint="eastAsia" w:ascii="仿宋" w:hAnsi="仿宋" w:eastAsia="仿宋" w:cs="仿宋"/>
          <w:sz w:val="32"/>
          <w:szCs w:val="32"/>
        </w:rPr>
        <w:t>初见雏形</w:t>
      </w:r>
      <w:r>
        <w:rPr>
          <w:rFonts w:hint="eastAsia" w:ascii="仿宋" w:hAnsi="仿宋" w:eastAsia="仿宋" w:cs="仿宋"/>
          <w:sz w:val="32"/>
          <w:szCs w:val="32"/>
          <w:lang w:eastAsia="zh-CN"/>
        </w:rPr>
        <w:t>，</w:t>
      </w:r>
      <w:r>
        <w:rPr>
          <w:rFonts w:hint="eastAsia" w:ascii="仿宋" w:hAnsi="仿宋" w:eastAsia="仿宋" w:cs="仿宋"/>
          <w:sz w:val="32"/>
          <w:szCs w:val="32"/>
        </w:rPr>
        <w:t>房产交易</w:t>
      </w:r>
      <w:r>
        <w:rPr>
          <w:rFonts w:hint="eastAsia" w:ascii="仿宋" w:hAnsi="仿宋" w:eastAsia="仿宋" w:cs="仿宋"/>
          <w:sz w:val="32"/>
          <w:szCs w:val="32"/>
          <w:lang w:eastAsia="zh-CN"/>
        </w:rPr>
        <w:t>税收登记一体化系统、“一体化”楼盘表平台建设、</w:t>
      </w:r>
      <w:r>
        <w:rPr>
          <w:rFonts w:hint="eastAsia" w:ascii="仿宋" w:hAnsi="仿宋" w:eastAsia="仿宋" w:cs="仿宋"/>
          <w:sz w:val="32"/>
          <w:szCs w:val="32"/>
        </w:rPr>
        <w:t>公租房</w:t>
      </w:r>
      <w:r>
        <w:rPr>
          <w:rFonts w:hint="eastAsia" w:ascii="仿宋" w:hAnsi="仿宋" w:eastAsia="仿宋" w:cs="仿宋"/>
          <w:sz w:val="32"/>
          <w:szCs w:val="32"/>
          <w:lang w:eastAsia="zh-CN"/>
        </w:rPr>
        <w:t>信息系统</w:t>
      </w:r>
      <w:r>
        <w:rPr>
          <w:rFonts w:hint="eastAsia" w:ascii="仿宋" w:hAnsi="仿宋" w:eastAsia="仿宋" w:cs="仿宋"/>
          <w:sz w:val="32"/>
          <w:szCs w:val="32"/>
        </w:rPr>
        <w:t>（住保卡）等</w:t>
      </w:r>
      <w:r>
        <w:rPr>
          <w:rFonts w:hint="eastAsia" w:ascii="仿宋" w:hAnsi="仿宋" w:eastAsia="仿宋" w:cs="仿宋"/>
          <w:sz w:val="32"/>
          <w:szCs w:val="32"/>
          <w:lang w:eastAsia="zh-CN"/>
        </w:rPr>
        <w:t>信息管理平台建设成效显著，便民服务进程加速推进。</w:t>
      </w:r>
      <w:r>
        <w:rPr>
          <w:rFonts w:hint="eastAsia" w:ascii="仿宋" w:hAnsi="仿宋" w:eastAsia="仿宋" w:cs="仿宋"/>
          <w:b/>
          <w:bCs/>
          <w:sz w:val="32"/>
          <w:szCs w:val="32"/>
          <w:lang w:eastAsia="zh-CN"/>
        </w:rPr>
        <w:t>三是大幅提升</w:t>
      </w:r>
      <w:r>
        <w:rPr>
          <w:rFonts w:hint="eastAsia" w:ascii="仿宋" w:hAnsi="仿宋" w:eastAsia="仿宋" w:cs="仿宋"/>
          <w:b/>
          <w:bCs/>
          <w:sz w:val="32"/>
          <w:szCs w:val="32"/>
          <w:lang w:val="en-US" w:eastAsia="zh-CN"/>
        </w:rPr>
        <w:t>白蚁防治服务质量。</w:t>
      </w:r>
      <w:r>
        <w:rPr>
          <w:rFonts w:hint="eastAsia" w:ascii="仿宋" w:hAnsi="仿宋" w:eastAsia="仿宋" w:cs="仿宋"/>
          <w:sz w:val="32"/>
          <w:szCs w:val="32"/>
          <w:lang w:val="en-US" w:eastAsia="zh-CN"/>
        </w:rPr>
        <w:t>全年</w:t>
      </w:r>
      <w:r>
        <w:rPr>
          <w:rFonts w:hint="eastAsia" w:ascii="仿宋" w:hAnsi="仿宋" w:eastAsia="仿宋" w:cs="仿宋"/>
          <w:sz w:val="32"/>
          <w:szCs w:val="32"/>
          <w:lang w:eastAsia="zh-CN"/>
        </w:rPr>
        <w:t>完成</w:t>
      </w:r>
      <w:r>
        <w:rPr>
          <w:rFonts w:hint="eastAsia" w:ascii="仿宋" w:hAnsi="仿宋" w:eastAsia="仿宋" w:cs="仿宋"/>
          <w:sz w:val="32"/>
          <w:szCs w:val="32"/>
        </w:rPr>
        <w:t>约</w:t>
      </w:r>
      <w:r>
        <w:rPr>
          <w:rFonts w:hint="eastAsia" w:ascii="仿宋" w:hAnsi="仿宋" w:eastAsia="仿宋" w:cs="仿宋"/>
          <w:sz w:val="32"/>
          <w:szCs w:val="32"/>
          <w:lang w:val="en-US" w:eastAsia="zh-CN"/>
        </w:rPr>
        <w:t>510</w:t>
      </w:r>
      <w:r>
        <w:rPr>
          <w:rFonts w:hint="eastAsia" w:ascii="仿宋" w:hAnsi="仿宋" w:eastAsia="仿宋" w:cs="仿宋"/>
          <w:sz w:val="32"/>
          <w:szCs w:val="32"/>
        </w:rPr>
        <w:t>万平方米公共园林绿化防治</w:t>
      </w:r>
      <w:r>
        <w:rPr>
          <w:rFonts w:hint="eastAsia" w:ascii="仿宋" w:hAnsi="仿宋" w:eastAsia="仿宋" w:cs="仿宋"/>
          <w:sz w:val="32"/>
          <w:szCs w:val="32"/>
          <w:lang w:eastAsia="zh-CN"/>
        </w:rPr>
        <w:t>，</w:t>
      </w:r>
      <w:r>
        <w:rPr>
          <w:rFonts w:hint="eastAsia" w:ascii="仿宋" w:hAnsi="仿宋" w:eastAsia="仿宋" w:cs="仿宋"/>
          <w:sz w:val="32"/>
          <w:szCs w:val="32"/>
        </w:rPr>
        <w:t>受理新建房屋白蚁预防项目</w:t>
      </w:r>
      <w:r>
        <w:rPr>
          <w:rFonts w:hint="eastAsia" w:ascii="仿宋" w:hAnsi="仿宋" w:eastAsia="仿宋" w:cs="仿宋"/>
          <w:sz w:val="32"/>
          <w:szCs w:val="32"/>
          <w:lang w:val="en-US" w:eastAsia="zh-CN"/>
        </w:rPr>
        <w:t>60</w:t>
      </w:r>
      <w:r>
        <w:rPr>
          <w:rFonts w:hint="eastAsia" w:ascii="仿宋" w:hAnsi="仿宋" w:eastAsia="仿宋" w:cs="仿宋"/>
          <w:sz w:val="32"/>
          <w:szCs w:val="32"/>
        </w:rPr>
        <w:t>个，预防面积</w:t>
      </w:r>
      <w:r>
        <w:rPr>
          <w:rFonts w:hint="eastAsia" w:ascii="仿宋" w:hAnsi="仿宋" w:eastAsia="仿宋" w:cs="仿宋"/>
          <w:sz w:val="32"/>
          <w:szCs w:val="32"/>
          <w:lang w:val="en-US" w:eastAsia="zh-CN"/>
        </w:rPr>
        <w:t>196.9</w:t>
      </w:r>
      <w:r>
        <w:rPr>
          <w:rFonts w:hint="eastAsia" w:ascii="仿宋" w:hAnsi="仿宋" w:eastAsia="仿宋" w:cs="仿宋"/>
          <w:sz w:val="32"/>
          <w:szCs w:val="32"/>
        </w:rPr>
        <w:t>万平方米，完成新建房屋预防施工项目</w:t>
      </w:r>
      <w:r>
        <w:rPr>
          <w:rFonts w:hint="eastAsia" w:ascii="仿宋" w:hAnsi="仿宋" w:eastAsia="仿宋" w:cs="仿宋"/>
          <w:sz w:val="32"/>
          <w:szCs w:val="32"/>
          <w:lang w:val="en-US" w:eastAsia="zh-CN"/>
        </w:rPr>
        <w:t>128个，</w:t>
      </w:r>
      <w:r>
        <w:rPr>
          <w:rFonts w:hint="eastAsia" w:ascii="仿宋" w:hAnsi="仿宋" w:eastAsia="仿宋" w:cs="仿宋"/>
          <w:sz w:val="32"/>
          <w:szCs w:val="32"/>
        </w:rPr>
        <w:t>面积</w:t>
      </w:r>
      <w:r>
        <w:rPr>
          <w:rFonts w:hint="eastAsia" w:ascii="仿宋" w:hAnsi="仿宋" w:eastAsia="仿宋" w:cs="仿宋"/>
          <w:sz w:val="32"/>
          <w:szCs w:val="32"/>
          <w:lang w:val="en-US" w:eastAsia="zh-CN"/>
        </w:rPr>
        <w:t>501.2</w:t>
      </w:r>
      <w:r>
        <w:rPr>
          <w:rFonts w:hint="eastAsia" w:ascii="仿宋" w:hAnsi="仿宋" w:eastAsia="仿宋" w:cs="仿宋"/>
          <w:sz w:val="32"/>
          <w:szCs w:val="32"/>
        </w:rPr>
        <w:t>万平方米，</w:t>
      </w:r>
      <w:r>
        <w:rPr>
          <w:rFonts w:hint="eastAsia" w:ascii="仿宋" w:hAnsi="仿宋" w:eastAsia="仿宋" w:cs="仿宋"/>
          <w:sz w:val="32"/>
          <w:szCs w:val="32"/>
          <w:lang w:eastAsia="zh-CN"/>
        </w:rPr>
        <w:t>发放预防实施证明</w:t>
      </w:r>
      <w:r>
        <w:rPr>
          <w:rFonts w:hint="eastAsia" w:ascii="仿宋" w:hAnsi="仿宋" w:eastAsia="仿宋" w:cs="仿宋"/>
          <w:sz w:val="32"/>
          <w:szCs w:val="32"/>
          <w:lang w:val="en-US" w:eastAsia="zh-CN"/>
        </w:rPr>
        <w:t>138份，</w:t>
      </w:r>
      <w:r>
        <w:rPr>
          <w:rFonts w:hint="eastAsia" w:ascii="仿宋" w:hAnsi="仿宋" w:eastAsia="仿宋" w:cs="仿宋"/>
          <w:sz w:val="32"/>
          <w:szCs w:val="32"/>
        </w:rPr>
        <w:t>安装地上型监控饵站</w:t>
      </w:r>
      <w:r>
        <w:rPr>
          <w:rFonts w:hint="eastAsia" w:ascii="仿宋" w:hAnsi="仿宋" w:eastAsia="仿宋" w:cs="仿宋"/>
          <w:sz w:val="32"/>
          <w:szCs w:val="32"/>
          <w:lang w:val="en-US" w:eastAsia="zh-CN"/>
        </w:rPr>
        <w:t>6540</w:t>
      </w:r>
      <w:r>
        <w:rPr>
          <w:rFonts w:hint="eastAsia" w:ascii="仿宋" w:hAnsi="仿宋" w:eastAsia="仿宋" w:cs="仿宋"/>
          <w:sz w:val="32"/>
          <w:szCs w:val="32"/>
        </w:rPr>
        <w:t>套，灭治施工工地</w:t>
      </w:r>
      <w:r>
        <w:rPr>
          <w:rFonts w:hint="eastAsia" w:ascii="仿宋" w:hAnsi="仿宋" w:eastAsia="仿宋" w:cs="仿宋"/>
          <w:sz w:val="32"/>
          <w:szCs w:val="32"/>
          <w:lang w:val="en-US" w:eastAsia="zh-CN"/>
        </w:rPr>
        <w:t>421</w:t>
      </w:r>
      <w:r>
        <w:rPr>
          <w:rFonts w:hint="eastAsia" w:ascii="仿宋" w:hAnsi="仿宋" w:eastAsia="仿宋" w:cs="仿宋"/>
          <w:sz w:val="32"/>
          <w:szCs w:val="32"/>
        </w:rPr>
        <w:t>个</w:t>
      </w:r>
      <w:r>
        <w:rPr>
          <w:rFonts w:hint="eastAsia" w:ascii="仿宋" w:hAnsi="仿宋" w:eastAsia="仿宋" w:cs="仿宋"/>
          <w:sz w:val="32"/>
          <w:szCs w:val="32"/>
          <w:lang w:eastAsia="zh-CN"/>
        </w:rPr>
        <w:t>。</w:t>
      </w:r>
      <w:r>
        <w:rPr>
          <w:rFonts w:hint="eastAsia" w:ascii="仿宋" w:hAnsi="仿宋" w:eastAsia="仿宋" w:cs="仿宋"/>
          <w:b/>
          <w:bCs/>
          <w:color w:val="auto"/>
          <w:spacing w:val="0"/>
          <w:sz w:val="32"/>
          <w:szCs w:val="32"/>
          <w:lang w:eastAsia="zh-CN"/>
        </w:rPr>
        <w:t>四是</w:t>
      </w:r>
      <w:r>
        <w:rPr>
          <w:rFonts w:hint="eastAsia" w:ascii="仿宋" w:hAnsi="仿宋" w:eastAsia="仿宋" w:cs="仿宋"/>
          <w:b/>
          <w:bCs/>
          <w:color w:val="auto"/>
          <w:spacing w:val="0"/>
          <w:sz w:val="32"/>
          <w:szCs w:val="32"/>
          <w:lang w:val="en-US" w:eastAsia="zh-CN"/>
        </w:rPr>
        <w:t>足</w:t>
      </w:r>
      <w:r>
        <w:rPr>
          <w:rFonts w:hint="eastAsia" w:ascii="仿宋" w:hAnsi="仿宋" w:eastAsia="仿宋" w:cs="仿宋"/>
          <w:b/>
          <w:bCs/>
          <w:color w:val="auto"/>
          <w:spacing w:val="0"/>
          <w:sz w:val="32"/>
          <w:szCs w:val="32"/>
          <w:lang w:eastAsia="zh-CN"/>
        </w:rPr>
        <w:t>额归集物维资金。</w:t>
      </w:r>
      <w:r>
        <w:rPr>
          <w:rFonts w:hint="eastAsia" w:ascii="仿宋" w:hAnsi="仿宋" w:eastAsia="仿宋" w:cs="仿宋"/>
          <w:b w:val="0"/>
          <w:bCs w:val="0"/>
          <w:color w:val="000000"/>
          <w:sz w:val="32"/>
          <w:szCs w:val="32"/>
          <w:lang w:eastAsia="zh-CN"/>
        </w:rPr>
        <w:t>截至</w:t>
      </w:r>
      <w:r>
        <w:rPr>
          <w:rFonts w:hint="eastAsia" w:ascii="仿宋" w:hAnsi="仿宋" w:eastAsia="仿宋" w:cs="仿宋"/>
          <w:b w:val="0"/>
          <w:bCs w:val="0"/>
          <w:color w:val="000000"/>
          <w:sz w:val="32"/>
          <w:szCs w:val="32"/>
          <w:lang w:val="en-US" w:eastAsia="zh-CN"/>
        </w:rPr>
        <w:t>12月底，</w:t>
      </w:r>
      <w:r>
        <w:rPr>
          <w:rFonts w:hint="eastAsia" w:ascii="仿宋" w:hAnsi="仿宋" w:eastAsia="仿宋" w:cs="仿宋"/>
          <w:b w:val="0"/>
          <w:bCs w:val="0"/>
          <w:color w:val="000000"/>
          <w:sz w:val="32"/>
          <w:szCs w:val="32"/>
          <w:lang w:eastAsia="zh-CN"/>
        </w:rPr>
        <w:t>市本级累计归集维修资金38.36亿元，累计拨付维</w:t>
      </w:r>
      <w:r>
        <w:rPr>
          <w:rFonts w:hint="eastAsia" w:ascii="仿宋" w:hAnsi="仿宋" w:eastAsia="仿宋" w:cs="仿宋"/>
          <w:b w:val="0"/>
          <w:bCs w:val="0"/>
          <w:color w:val="000000"/>
          <w:sz w:val="32"/>
          <w:szCs w:val="32"/>
        </w:rPr>
        <w:t>修资金6432.31万元</w:t>
      </w:r>
      <w:r>
        <w:rPr>
          <w:rFonts w:hint="eastAsia" w:ascii="仿宋" w:hAnsi="仿宋" w:eastAsia="仿宋" w:cs="仿宋"/>
          <w:b w:val="0"/>
          <w:bCs w:val="0"/>
          <w:color w:val="000000"/>
          <w:sz w:val="32"/>
          <w:szCs w:val="32"/>
          <w:lang w:eastAsia="zh-CN"/>
        </w:rPr>
        <w:t>，累计</w:t>
      </w:r>
      <w:r>
        <w:rPr>
          <w:rFonts w:hint="eastAsia" w:ascii="仿宋" w:hAnsi="仿宋" w:eastAsia="仿宋" w:cs="仿宋"/>
          <w:b w:val="0"/>
          <w:bCs w:val="0"/>
          <w:color w:val="000000"/>
          <w:sz w:val="32"/>
          <w:szCs w:val="32"/>
        </w:rPr>
        <w:t>实现增值收益4.58亿元。</w:t>
      </w:r>
      <w:r>
        <w:rPr>
          <w:rFonts w:hint="eastAsia" w:ascii="仿宋" w:hAnsi="仿宋" w:eastAsia="仿宋" w:cs="仿宋"/>
          <w:b w:val="0"/>
          <w:bCs w:val="0"/>
          <w:color w:val="000000"/>
          <w:sz w:val="32"/>
          <w:szCs w:val="32"/>
          <w:lang w:val="en-US" w:eastAsia="zh-CN"/>
        </w:rPr>
        <w:t>今年</w:t>
      </w:r>
      <w:r>
        <w:rPr>
          <w:rFonts w:hint="eastAsia" w:ascii="仿宋" w:hAnsi="仿宋" w:eastAsia="仿宋" w:cs="仿宋"/>
          <w:b w:val="0"/>
          <w:bCs w:val="0"/>
          <w:color w:val="000000"/>
          <w:sz w:val="32"/>
          <w:szCs w:val="32"/>
          <w:lang w:eastAsia="zh-CN"/>
        </w:rPr>
        <w:t>全年</w:t>
      </w:r>
      <w:r>
        <w:rPr>
          <w:rFonts w:hint="eastAsia" w:ascii="仿宋" w:hAnsi="仿宋" w:eastAsia="仿宋" w:cs="仿宋"/>
          <w:b w:val="0"/>
          <w:bCs w:val="0"/>
          <w:color w:val="000000"/>
          <w:sz w:val="32"/>
          <w:szCs w:val="32"/>
        </w:rPr>
        <w:t>归集维修资金2.26亿元，完成年度目标任务的130%，</w:t>
      </w:r>
      <w:r>
        <w:rPr>
          <w:rFonts w:hint="eastAsia" w:ascii="仿宋" w:hAnsi="仿宋" w:eastAsia="仿宋" w:cs="仿宋"/>
          <w:b w:val="0"/>
          <w:bCs w:val="0"/>
          <w:color w:val="000000"/>
          <w:sz w:val="32"/>
          <w:szCs w:val="32"/>
          <w:lang w:eastAsia="zh-CN"/>
        </w:rPr>
        <w:t>全年</w:t>
      </w:r>
      <w:r>
        <w:rPr>
          <w:rFonts w:hint="eastAsia" w:ascii="仿宋" w:hAnsi="仿宋" w:eastAsia="仿宋" w:cs="仿宋"/>
          <w:b w:val="0"/>
          <w:bCs w:val="0"/>
          <w:color w:val="000000"/>
          <w:sz w:val="32"/>
          <w:szCs w:val="32"/>
        </w:rPr>
        <w:t>实现增值收益8368.91万元，</w:t>
      </w:r>
      <w:r>
        <w:rPr>
          <w:rFonts w:hint="eastAsia" w:ascii="仿宋" w:hAnsi="仿宋" w:eastAsia="仿宋" w:cs="仿宋"/>
          <w:b w:val="0"/>
          <w:bCs w:val="0"/>
          <w:color w:val="000000"/>
          <w:sz w:val="32"/>
          <w:szCs w:val="32"/>
          <w:lang w:eastAsia="zh-CN"/>
        </w:rPr>
        <w:t>全年</w:t>
      </w:r>
      <w:r>
        <w:rPr>
          <w:rFonts w:hint="eastAsia" w:ascii="仿宋" w:hAnsi="仿宋" w:eastAsia="仿宋" w:cs="仿宋"/>
          <w:b w:val="0"/>
          <w:bCs w:val="0"/>
          <w:color w:val="000000"/>
          <w:sz w:val="32"/>
          <w:szCs w:val="32"/>
        </w:rPr>
        <w:t>拨付</w:t>
      </w:r>
      <w:r>
        <w:rPr>
          <w:rFonts w:hint="eastAsia" w:ascii="仿宋" w:hAnsi="仿宋" w:eastAsia="仿宋" w:cs="仿宋"/>
          <w:b w:val="0"/>
          <w:bCs w:val="0"/>
          <w:color w:val="000000"/>
          <w:sz w:val="32"/>
          <w:szCs w:val="32"/>
          <w:lang w:eastAsia="zh-CN"/>
        </w:rPr>
        <w:t>维修资金</w:t>
      </w:r>
      <w:r>
        <w:rPr>
          <w:rFonts w:hint="eastAsia" w:ascii="仿宋" w:hAnsi="仿宋" w:eastAsia="仿宋" w:cs="仿宋"/>
          <w:b w:val="0"/>
          <w:bCs w:val="0"/>
          <w:color w:val="000000"/>
          <w:sz w:val="32"/>
          <w:szCs w:val="32"/>
        </w:rPr>
        <w:t>842.25万元，同比</w:t>
      </w:r>
      <w:r>
        <w:rPr>
          <w:rFonts w:hint="eastAsia" w:ascii="仿宋" w:hAnsi="仿宋" w:eastAsia="仿宋" w:cs="仿宋"/>
          <w:b w:val="0"/>
          <w:bCs w:val="0"/>
          <w:color w:val="000000"/>
          <w:sz w:val="32"/>
          <w:szCs w:val="32"/>
          <w:lang w:eastAsia="zh-CN"/>
        </w:rPr>
        <w:t>增长</w:t>
      </w:r>
      <w:r>
        <w:rPr>
          <w:rFonts w:hint="eastAsia" w:ascii="仿宋" w:hAnsi="仿宋" w:eastAsia="仿宋" w:cs="仿宋"/>
          <w:b w:val="0"/>
          <w:bCs w:val="0"/>
          <w:color w:val="000000"/>
          <w:sz w:val="32"/>
          <w:szCs w:val="32"/>
        </w:rPr>
        <w:t>27%</w:t>
      </w:r>
      <w:r>
        <w:rPr>
          <w:rFonts w:hint="eastAsia" w:ascii="仿宋" w:hAnsi="仿宋" w:eastAsia="仿宋" w:cs="仿宋"/>
          <w:b w:val="0"/>
          <w:bCs w:val="0"/>
          <w:color w:val="000000"/>
          <w:sz w:val="32"/>
          <w:szCs w:val="32"/>
          <w:lang w:eastAsia="zh-CN"/>
        </w:rPr>
        <w:t>。</w:t>
      </w:r>
    </w:p>
    <w:p w14:paraId="4581EE85">
      <w:pPr>
        <w:pStyle w:val="5"/>
        <w:widowControl/>
        <w:ind w:firstLine="640"/>
        <w:rPr>
          <w:rFonts w:hint="eastAsia" w:eastAsia="黑体"/>
          <w:sz w:val="32"/>
          <w:szCs w:val="32"/>
        </w:rPr>
      </w:pPr>
      <w:r>
        <w:rPr>
          <w:rFonts w:hint="eastAsia" w:eastAsia="黑体"/>
          <w:sz w:val="32"/>
          <w:szCs w:val="32"/>
          <w:lang w:eastAsia="zh-CN"/>
        </w:rPr>
        <w:t>七</w:t>
      </w:r>
      <w:r>
        <w:rPr>
          <w:rFonts w:hint="eastAsia" w:eastAsia="黑体"/>
          <w:sz w:val="32"/>
          <w:szCs w:val="32"/>
        </w:rPr>
        <w:t>、存在的问题及原因分析</w:t>
      </w:r>
    </w:p>
    <w:p w14:paraId="0E3CD60B">
      <w:pPr>
        <w:widowControl/>
        <w:ind w:firstLine="640" w:firstLineChars="200"/>
        <w:rPr>
          <w:rFonts w:hint="eastAsia" w:ascii="Times New Roman" w:hAnsi="Times New Roman" w:eastAsia="仿宋"/>
          <w:sz w:val="32"/>
          <w:szCs w:val="32"/>
          <w:lang w:eastAsia="zh-CN"/>
        </w:rPr>
      </w:pPr>
      <w:r>
        <w:rPr>
          <w:rFonts w:hint="eastAsia" w:ascii="仿宋" w:hAnsi="仿宋" w:eastAsia="仿宋" w:cs="仿宋"/>
          <w:color w:val="010101"/>
          <w:kern w:val="0"/>
          <w:sz w:val="32"/>
          <w:szCs w:val="32"/>
          <w:lang w:val="en-US" w:eastAsia="zh-CN"/>
        </w:rPr>
        <w:t>2022年度预、决算差异情况。我单位预、决算存在差异的主要为城乡社区支出项目。是因为2022年为落实衡阳市政府“衡十七条”购房契税补贴项目，我单位共收到并发放到位的购房契税补贴3181.98万元未能计入2022年度预算</w:t>
      </w:r>
      <w:r>
        <w:rPr>
          <w:rFonts w:hint="eastAsia" w:ascii="仿宋" w:hAnsi="仿宋" w:eastAsia="仿宋" w:cs="仿宋"/>
          <w:color w:val="010101"/>
          <w:kern w:val="0"/>
          <w:sz w:val="32"/>
          <w:szCs w:val="32"/>
        </w:rPr>
        <w:t>。</w:t>
      </w:r>
      <w:r>
        <w:rPr>
          <w:rFonts w:hint="eastAsia" w:ascii="仿宋" w:hAnsi="仿宋" w:eastAsia="仿宋" w:cs="仿宋"/>
          <w:color w:val="010101"/>
          <w:kern w:val="0"/>
          <w:sz w:val="32"/>
          <w:szCs w:val="32"/>
          <w:lang w:eastAsia="zh-CN"/>
        </w:rPr>
        <w:t>导致</w:t>
      </w:r>
      <w:r>
        <w:rPr>
          <w:rFonts w:hint="eastAsia" w:ascii="仿宋" w:hAnsi="仿宋" w:eastAsia="仿宋" w:cs="仿宋"/>
          <w:color w:val="010101"/>
          <w:kern w:val="0"/>
          <w:sz w:val="32"/>
          <w:szCs w:val="32"/>
          <w:lang w:val="en-US" w:eastAsia="zh-CN"/>
        </w:rPr>
        <w:t>2022年度预、决算差异较大。</w:t>
      </w:r>
    </w:p>
    <w:p w14:paraId="1F2830BB">
      <w:pPr>
        <w:widowControl/>
        <w:numPr>
          <w:ilvl w:val="0"/>
          <w:numId w:val="0"/>
        </w:numPr>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八、</w:t>
      </w:r>
      <w:r>
        <w:rPr>
          <w:rFonts w:hint="eastAsia" w:ascii="Times New Roman" w:hAnsi="Times New Roman" w:eastAsia="黑体"/>
          <w:sz w:val="32"/>
          <w:szCs w:val="32"/>
        </w:rPr>
        <w:t>下一步改进措施</w:t>
      </w:r>
    </w:p>
    <w:p w14:paraId="5FFFF88E">
      <w:pPr>
        <w:pStyle w:val="2"/>
        <w:numPr>
          <w:ilvl w:val="0"/>
          <w:numId w:val="2"/>
        </w:numPr>
        <w:rPr>
          <w:rFonts w:hint="eastAsia" w:ascii="仿宋" w:hAnsi="仿宋" w:eastAsia="仿宋" w:cs="仿宋"/>
          <w:color w:val="010101"/>
          <w:kern w:val="0"/>
          <w:sz w:val="32"/>
          <w:szCs w:val="32"/>
        </w:rPr>
      </w:pPr>
      <w:r>
        <w:rPr>
          <w:rFonts w:hint="eastAsia" w:ascii="仿宋" w:hAnsi="仿宋" w:eastAsia="仿宋" w:cs="仿宋"/>
          <w:color w:val="010101"/>
          <w:kern w:val="0"/>
          <w:sz w:val="32"/>
          <w:szCs w:val="32"/>
        </w:rPr>
        <w:t>科学合理编制预算，严格执行预算</w:t>
      </w:r>
    </w:p>
    <w:p w14:paraId="5FD5F849">
      <w:pPr>
        <w:keepNext w:val="0"/>
        <w:keepLines w:val="0"/>
        <w:pageBreakBefore w:val="0"/>
        <w:widowControl/>
        <w:kinsoku/>
        <w:wordWrap/>
        <w:overflowPunct/>
        <w:topLinePunct w:val="0"/>
        <w:bidi w:val="0"/>
        <w:adjustRightInd/>
        <w:snapToGrid/>
        <w:spacing w:beforeAutospacing="0" w:afterAutospacing="0" w:line="360" w:lineRule="auto"/>
        <w:ind w:firstLine="640" w:firstLineChars="200"/>
        <w:rPr>
          <w:rFonts w:hint="eastAsia" w:ascii="仿宋" w:hAnsi="仿宋" w:eastAsia="仿宋" w:cs="仿宋"/>
          <w:color w:val="010101"/>
          <w:kern w:val="0"/>
          <w:sz w:val="32"/>
          <w:szCs w:val="32"/>
        </w:rPr>
      </w:pPr>
      <w:r>
        <w:rPr>
          <w:rFonts w:hint="eastAsia" w:ascii="仿宋" w:hAnsi="仿宋" w:eastAsia="仿宋" w:cs="仿宋"/>
          <w:color w:val="010101"/>
          <w:kern w:val="0"/>
          <w:sz w:val="32"/>
          <w:szCs w:val="32"/>
          <w:lang w:val="en-US" w:eastAsia="zh-CN"/>
        </w:rPr>
        <w:t>2022年，我单位将</w:t>
      </w:r>
      <w:r>
        <w:rPr>
          <w:rFonts w:hint="eastAsia" w:ascii="仿宋" w:hAnsi="仿宋" w:eastAsia="仿宋" w:cs="仿宋"/>
          <w:color w:val="010101"/>
          <w:kern w:val="0"/>
          <w:sz w:val="32"/>
          <w:szCs w:val="32"/>
        </w:rPr>
        <w:t>加强预算编制的前瞻性，按照《</w:t>
      </w:r>
      <w:r>
        <w:rPr>
          <w:rFonts w:hint="eastAsia" w:ascii="仿宋" w:hAnsi="仿宋" w:eastAsia="仿宋" w:cs="仿宋"/>
          <w:color w:val="010101"/>
          <w:kern w:val="0"/>
          <w:sz w:val="32"/>
          <w:szCs w:val="32"/>
          <w:lang w:val="en-US" w:eastAsia="zh-CN"/>
        </w:rPr>
        <w:t>中华人民共和国</w:t>
      </w:r>
      <w:r>
        <w:rPr>
          <w:rFonts w:hint="eastAsia" w:ascii="仿宋" w:hAnsi="仿宋" w:eastAsia="仿宋" w:cs="仿宋"/>
          <w:color w:val="010101"/>
          <w:kern w:val="0"/>
          <w:sz w:val="32"/>
          <w:szCs w:val="32"/>
        </w:rPr>
        <w:t>预算法》及其实施条例的相关规定，按政策规定及本</w:t>
      </w:r>
      <w:r>
        <w:rPr>
          <w:rFonts w:hint="eastAsia" w:ascii="仿宋" w:hAnsi="仿宋" w:eastAsia="仿宋" w:cs="仿宋"/>
          <w:color w:val="010101"/>
          <w:kern w:val="0"/>
          <w:sz w:val="32"/>
          <w:szCs w:val="32"/>
          <w:lang w:val="en-US" w:eastAsia="zh-CN"/>
        </w:rPr>
        <w:t>单位</w:t>
      </w:r>
      <w:r>
        <w:rPr>
          <w:rFonts w:hint="eastAsia" w:ascii="仿宋" w:hAnsi="仿宋" w:eastAsia="仿宋" w:cs="仿宋"/>
          <w:color w:val="010101"/>
          <w:kern w:val="0"/>
          <w:sz w:val="32"/>
          <w:szCs w:val="32"/>
        </w:rPr>
        <w:t>的发展规划，结合上一年度预算执行情况和本年度预算收支变化因素，科学、合理地编制本年预算草案，预算支出与实际执行出现较大偏差的情况，执行中确需调剂预算的，按规定程序报经批准。</w:t>
      </w:r>
    </w:p>
    <w:p w14:paraId="59B2F500">
      <w:pPr>
        <w:keepNext w:val="0"/>
        <w:keepLines w:val="0"/>
        <w:pageBreakBefore w:val="0"/>
        <w:widowControl/>
        <w:kinsoku/>
        <w:wordWrap/>
        <w:overflowPunct/>
        <w:topLinePunct w:val="0"/>
        <w:bidi w:val="0"/>
        <w:adjustRightInd/>
        <w:snapToGrid/>
        <w:spacing w:beforeAutospacing="0" w:afterAutospacing="0" w:line="360" w:lineRule="auto"/>
        <w:rPr>
          <w:rFonts w:hint="eastAsia" w:ascii="仿宋" w:hAnsi="仿宋" w:eastAsia="仿宋" w:cs="仿宋"/>
          <w:color w:val="010101"/>
          <w:kern w:val="0"/>
          <w:sz w:val="32"/>
          <w:szCs w:val="32"/>
        </w:rPr>
      </w:pPr>
      <w:r>
        <w:rPr>
          <w:rFonts w:hint="eastAsia" w:ascii="仿宋" w:hAnsi="仿宋" w:eastAsia="仿宋" w:cs="仿宋"/>
          <w:color w:val="010101"/>
          <w:kern w:val="0"/>
          <w:sz w:val="32"/>
          <w:szCs w:val="32"/>
          <w:lang w:eastAsia="zh-CN"/>
        </w:rPr>
        <w:t>　　</w:t>
      </w:r>
      <w:r>
        <w:rPr>
          <w:rFonts w:hint="eastAsia" w:ascii="仿宋" w:hAnsi="仿宋" w:eastAsia="仿宋" w:cs="仿宋"/>
          <w:color w:val="010101"/>
          <w:kern w:val="0"/>
          <w:sz w:val="32"/>
          <w:szCs w:val="32"/>
        </w:rPr>
        <w:t>（</w:t>
      </w:r>
      <w:r>
        <w:rPr>
          <w:rFonts w:hint="eastAsia" w:ascii="仿宋" w:hAnsi="仿宋" w:eastAsia="仿宋" w:cs="仿宋"/>
          <w:color w:val="010101"/>
          <w:kern w:val="0"/>
          <w:sz w:val="32"/>
          <w:szCs w:val="32"/>
          <w:lang w:eastAsia="zh-CN"/>
        </w:rPr>
        <w:t>二</w:t>
      </w:r>
      <w:r>
        <w:rPr>
          <w:rFonts w:hint="eastAsia" w:ascii="仿宋" w:hAnsi="仿宋" w:eastAsia="仿宋" w:cs="仿宋"/>
          <w:color w:val="010101"/>
          <w:kern w:val="0"/>
          <w:sz w:val="32"/>
          <w:szCs w:val="32"/>
        </w:rPr>
        <w:t>）完善管理制度，进一步加强资产管理</w:t>
      </w:r>
    </w:p>
    <w:p w14:paraId="13551457">
      <w:pPr>
        <w:keepNext w:val="0"/>
        <w:keepLines w:val="0"/>
        <w:pageBreakBefore w:val="0"/>
        <w:widowControl/>
        <w:kinsoku/>
        <w:wordWrap/>
        <w:overflowPunct/>
        <w:topLinePunct w:val="0"/>
        <w:bidi w:val="0"/>
        <w:adjustRightInd/>
        <w:snapToGrid/>
        <w:spacing w:beforeAutospacing="0" w:afterAutospacing="0" w:line="360" w:lineRule="auto"/>
        <w:rPr>
          <w:rFonts w:hint="eastAsia" w:ascii="仿宋" w:hAnsi="仿宋" w:eastAsia="仿宋" w:cs="仿宋"/>
          <w:color w:val="010101"/>
          <w:kern w:val="0"/>
          <w:sz w:val="32"/>
          <w:szCs w:val="32"/>
        </w:rPr>
      </w:pPr>
      <w:r>
        <w:rPr>
          <w:rFonts w:hint="eastAsia" w:ascii="仿宋" w:hAnsi="仿宋" w:eastAsia="仿宋" w:cs="仿宋"/>
          <w:color w:val="010101"/>
          <w:kern w:val="0"/>
          <w:sz w:val="32"/>
          <w:szCs w:val="32"/>
        </w:rPr>
        <w:t>　　进一步建立本</w:t>
      </w:r>
      <w:r>
        <w:rPr>
          <w:rFonts w:hint="eastAsia" w:ascii="仿宋" w:hAnsi="仿宋" w:eastAsia="仿宋" w:cs="仿宋"/>
          <w:color w:val="010101"/>
          <w:kern w:val="0"/>
          <w:sz w:val="32"/>
          <w:szCs w:val="32"/>
          <w:lang w:val="en-US" w:eastAsia="zh-CN"/>
        </w:rPr>
        <w:t>单位</w:t>
      </w:r>
      <w:r>
        <w:rPr>
          <w:rFonts w:hint="eastAsia" w:ascii="仿宋" w:hAnsi="仿宋" w:eastAsia="仿宋" w:cs="仿宋"/>
          <w:color w:val="010101"/>
          <w:kern w:val="0"/>
          <w:sz w:val="32"/>
          <w:szCs w:val="32"/>
        </w:rPr>
        <w:t>“三公经费”等公务支出管理制度及厉行节约制度，加强经费审批和控制，规范支出标准与范围，并严格执行。严格按照《</w:t>
      </w:r>
      <w:r>
        <w:rPr>
          <w:rFonts w:hint="eastAsia" w:ascii="仿宋" w:hAnsi="仿宋" w:eastAsia="仿宋" w:cs="仿宋"/>
          <w:color w:val="010101"/>
          <w:kern w:val="0"/>
          <w:sz w:val="32"/>
          <w:szCs w:val="32"/>
          <w:lang w:eastAsia="zh-CN"/>
        </w:rPr>
        <w:t>市住保中心资产管理制度</w:t>
      </w:r>
      <w:r>
        <w:rPr>
          <w:rFonts w:hint="eastAsia" w:ascii="仿宋" w:hAnsi="仿宋" w:eastAsia="仿宋" w:cs="仿宋"/>
          <w:color w:val="010101"/>
          <w:kern w:val="0"/>
          <w:sz w:val="32"/>
          <w:szCs w:val="32"/>
        </w:rPr>
        <w:t>》的规定加强固定资产管理，及时登记、更新台账，加强资产卡片管理，年终前对各类实物资产进行全面盘点，确保账账、账实相符。</w:t>
      </w:r>
    </w:p>
    <w:p w14:paraId="7472666C">
      <w:pPr>
        <w:keepNext w:val="0"/>
        <w:keepLines w:val="0"/>
        <w:pageBreakBefore w:val="0"/>
        <w:widowControl/>
        <w:kinsoku/>
        <w:wordWrap/>
        <w:overflowPunct/>
        <w:topLinePunct w:val="0"/>
        <w:bidi w:val="0"/>
        <w:adjustRightInd/>
        <w:snapToGrid/>
        <w:spacing w:beforeAutospacing="0" w:afterAutospacing="0" w:line="360" w:lineRule="auto"/>
        <w:rPr>
          <w:rFonts w:hint="eastAsia" w:ascii="仿宋" w:hAnsi="仿宋" w:eastAsia="仿宋" w:cs="仿宋"/>
          <w:color w:val="010101"/>
          <w:kern w:val="0"/>
          <w:sz w:val="32"/>
          <w:szCs w:val="32"/>
        </w:rPr>
      </w:pPr>
      <w:r>
        <w:rPr>
          <w:rFonts w:hint="eastAsia" w:ascii="仿宋" w:hAnsi="仿宋" w:eastAsia="仿宋" w:cs="仿宋"/>
          <w:color w:val="010101"/>
          <w:kern w:val="0"/>
          <w:sz w:val="32"/>
          <w:szCs w:val="32"/>
        </w:rPr>
        <w:t>　　（</w:t>
      </w:r>
      <w:r>
        <w:rPr>
          <w:rFonts w:hint="eastAsia" w:ascii="仿宋" w:hAnsi="仿宋" w:eastAsia="仿宋" w:cs="仿宋"/>
          <w:color w:val="010101"/>
          <w:kern w:val="0"/>
          <w:sz w:val="32"/>
          <w:szCs w:val="32"/>
          <w:lang w:eastAsia="zh-CN"/>
        </w:rPr>
        <w:t>三</w:t>
      </w:r>
      <w:r>
        <w:rPr>
          <w:rFonts w:hint="eastAsia" w:ascii="仿宋" w:hAnsi="仿宋" w:eastAsia="仿宋" w:cs="仿宋"/>
          <w:color w:val="010101"/>
          <w:kern w:val="0"/>
          <w:sz w:val="32"/>
          <w:szCs w:val="32"/>
        </w:rPr>
        <w:t>）加强行政单位会计制度和预算法学习培训</w:t>
      </w:r>
    </w:p>
    <w:p w14:paraId="5714D1CB">
      <w:pPr>
        <w:widowControl/>
        <w:ind w:firstLine="640" w:firstLineChars="200"/>
        <w:rPr>
          <w:rFonts w:hint="eastAsia" w:ascii="仿宋" w:hAnsi="仿宋" w:eastAsia="仿宋" w:cs="仿宋"/>
          <w:color w:val="010101"/>
          <w:kern w:val="0"/>
          <w:sz w:val="32"/>
          <w:szCs w:val="32"/>
        </w:rPr>
      </w:pPr>
      <w:r>
        <w:rPr>
          <w:rFonts w:hint="eastAsia" w:ascii="仿宋" w:hAnsi="仿宋" w:eastAsia="仿宋" w:cs="仿宋"/>
          <w:color w:val="010101"/>
          <w:kern w:val="0"/>
          <w:sz w:val="32"/>
          <w:szCs w:val="32"/>
        </w:rPr>
        <w:t>加强《</w:t>
      </w:r>
      <w:r>
        <w:rPr>
          <w:rFonts w:hint="eastAsia" w:ascii="仿宋" w:hAnsi="仿宋" w:eastAsia="仿宋" w:cs="仿宋"/>
          <w:color w:val="010101"/>
          <w:kern w:val="0"/>
          <w:sz w:val="32"/>
          <w:szCs w:val="32"/>
          <w:lang w:val="en-US" w:eastAsia="zh-CN"/>
        </w:rPr>
        <w:t>中华人民共和国</w:t>
      </w:r>
      <w:r>
        <w:rPr>
          <w:rFonts w:hint="eastAsia" w:ascii="仿宋" w:hAnsi="仿宋" w:eastAsia="仿宋" w:cs="仿宋"/>
          <w:color w:val="010101"/>
          <w:kern w:val="0"/>
          <w:sz w:val="32"/>
          <w:szCs w:val="32"/>
        </w:rPr>
        <w:t>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73DEA8E6">
      <w:pPr>
        <w:widowControl/>
        <w:ind w:firstLine="640" w:firstLineChars="200"/>
        <w:rPr>
          <w:rFonts w:hint="eastAsia" w:ascii="Times New Roman" w:hAnsi="Times New Roman" w:eastAsia="黑体"/>
          <w:sz w:val="32"/>
          <w:szCs w:val="32"/>
        </w:rPr>
      </w:pPr>
      <w:r>
        <w:rPr>
          <w:rFonts w:hint="eastAsia" w:ascii="Times New Roman" w:hAnsi="Times New Roman" w:eastAsia="黑体"/>
          <w:sz w:val="32"/>
          <w:szCs w:val="32"/>
          <w:lang w:eastAsia="zh-CN"/>
        </w:rPr>
        <w:t>九、</w:t>
      </w:r>
      <w:r>
        <w:rPr>
          <w:rFonts w:hint="eastAsia" w:ascii="Times New Roman" w:hAnsi="Times New Roman" w:eastAsia="黑体"/>
          <w:sz w:val="32"/>
          <w:szCs w:val="32"/>
        </w:rPr>
        <w:t>其他需要说明的情况</w:t>
      </w:r>
    </w:p>
    <w:p w14:paraId="14F96C36">
      <w:pPr>
        <w:widowControl/>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本年度无</w:t>
      </w:r>
      <w:r>
        <w:rPr>
          <w:rFonts w:hint="eastAsia" w:ascii="仿宋" w:hAnsi="仿宋" w:eastAsia="仿宋" w:cs="仿宋"/>
          <w:sz w:val="32"/>
          <w:szCs w:val="32"/>
        </w:rPr>
        <w:t>其他需要说明的情况</w:t>
      </w:r>
      <w:r>
        <w:rPr>
          <w:rFonts w:hint="eastAsia" w:ascii="仿宋" w:hAnsi="仿宋" w:eastAsia="仿宋" w:cs="仿宋"/>
          <w:sz w:val="32"/>
          <w:szCs w:val="32"/>
          <w:lang w:eastAsia="zh-CN"/>
        </w:rPr>
        <w:t>。</w:t>
      </w:r>
    </w:p>
    <w:p w14:paraId="2A9604A5">
      <w:pPr>
        <w:pStyle w:val="2"/>
        <w:numPr>
          <w:ilvl w:val="0"/>
          <w:numId w:val="0"/>
        </w:numPr>
        <w:ind w:leftChars="200"/>
      </w:pPr>
    </w:p>
    <w:p w14:paraId="47A5EA12">
      <w:pPr>
        <w:ind w:firstLine="640" w:firstLineChars="200"/>
        <w:rPr>
          <w:rFonts w:ascii="Times New Roman" w:hAnsi="Times New Roman" w:eastAsia="仿宋_GB2312"/>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1</w:t>
      </w:r>
      <w:r>
        <w:rPr>
          <w:rFonts w:hint="eastAsia" w:ascii="Times New Roman" w:hAnsi="Times New Roman" w:eastAsia="仿宋"/>
          <w:sz w:val="32"/>
          <w:szCs w:val="32"/>
        </w:rPr>
        <w:t>：</w:t>
      </w:r>
      <w:r>
        <w:rPr>
          <w:rFonts w:ascii="Times New Roman" w:hAnsi="Times New Roman" w:eastAsia="仿宋_GB2312"/>
          <w:sz w:val="32"/>
          <w:szCs w:val="32"/>
        </w:rPr>
        <w:t>部门整体支出绩效评价基础数据表</w:t>
      </w:r>
    </w:p>
    <w:p w14:paraId="655036C8">
      <w:pPr>
        <w:widowControl/>
        <w:ind w:firstLine="640" w:firstLineChars="200"/>
        <w:rPr>
          <w:rFonts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2</w:t>
      </w:r>
      <w:r>
        <w:rPr>
          <w:rFonts w:hint="eastAsia" w:ascii="Times New Roman" w:hAnsi="Times New Roman" w:eastAsia="仿宋"/>
          <w:sz w:val="32"/>
          <w:szCs w:val="32"/>
        </w:rPr>
        <w:t>：</w:t>
      </w:r>
      <w:r>
        <w:rPr>
          <w:rFonts w:ascii="Times New Roman" w:hAnsi="Times New Roman" w:eastAsia="仿宋_GB2312"/>
          <w:sz w:val="32"/>
          <w:szCs w:val="32"/>
        </w:rPr>
        <w:t>部门整体支出绩效自评表</w:t>
      </w:r>
    </w:p>
    <w:p w14:paraId="4BD03A6A">
      <w:pPr>
        <w:widowControl/>
        <w:ind w:firstLine="640" w:firstLineChars="200"/>
        <w:rPr>
          <w:rFonts w:ascii="Times New Roman" w:hAnsi="Times New Roman" w:eastAsia="仿宋"/>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3</w:t>
      </w:r>
      <w:r>
        <w:rPr>
          <w:rFonts w:hint="eastAsia" w:ascii="Times New Roman" w:hAnsi="Times New Roman" w:eastAsia="仿宋"/>
          <w:sz w:val="32"/>
          <w:szCs w:val="32"/>
        </w:rPr>
        <w:t>：项目支出绩效自评表</w:t>
      </w:r>
    </w:p>
    <w:p w14:paraId="5A622CBF">
      <w:pPr>
        <w:spacing w:line="560" w:lineRule="exact"/>
        <w:rPr>
          <w:rFonts w:hint="eastAsia" w:ascii="Times New Roman" w:hAnsi="Times New Roman" w:eastAsia="仿宋"/>
          <w:sz w:val="32"/>
          <w:szCs w:val="32"/>
        </w:rPr>
      </w:pPr>
    </w:p>
    <w:p w14:paraId="2E63D644">
      <w:pPr>
        <w:pStyle w:val="2"/>
        <w:rPr>
          <w:rFonts w:hint="eastAsia" w:ascii="Times New Roman" w:hAnsi="Times New Roman" w:eastAsia="仿宋"/>
          <w:sz w:val="32"/>
          <w:szCs w:val="32"/>
        </w:rPr>
      </w:pPr>
    </w:p>
    <w:p w14:paraId="362948E6">
      <w:pPr>
        <w:pStyle w:val="2"/>
        <w:rPr>
          <w:rFonts w:hint="eastAsia" w:ascii="Times New Roman" w:hAnsi="Times New Roman" w:eastAsia="仿宋"/>
          <w:sz w:val="32"/>
          <w:szCs w:val="32"/>
        </w:rPr>
      </w:pPr>
    </w:p>
    <w:p w14:paraId="033D5342">
      <w:pPr>
        <w:pStyle w:val="2"/>
        <w:rPr>
          <w:rFonts w:hint="eastAsia" w:ascii="Times New Roman" w:hAnsi="Times New Roman" w:eastAsia="仿宋"/>
          <w:sz w:val="32"/>
          <w:szCs w:val="32"/>
        </w:rPr>
      </w:pPr>
    </w:p>
    <w:p w14:paraId="6B954E77">
      <w:pPr>
        <w:pStyle w:val="2"/>
        <w:rPr>
          <w:rFonts w:hint="eastAsia" w:ascii="Times New Roman" w:hAnsi="Times New Roman" w:eastAsia="仿宋"/>
          <w:sz w:val="32"/>
          <w:szCs w:val="32"/>
        </w:rPr>
      </w:pPr>
    </w:p>
    <w:p w14:paraId="29C4A1EC">
      <w:pPr>
        <w:pStyle w:val="2"/>
        <w:rPr>
          <w:rFonts w:hint="eastAsia" w:ascii="Times New Roman" w:hAnsi="Times New Roman" w:eastAsia="仿宋"/>
          <w:sz w:val="32"/>
          <w:szCs w:val="32"/>
        </w:rPr>
      </w:pPr>
    </w:p>
    <w:p w14:paraId="779D14D9">
      <w:pPr>
        <w:pStyle w:val="2"/>
        <w:rPr>
          <w:rFonts w:hint="eastAsia" w:ascii="Times New Roman" w:hAnsi="Times New Roman" w:eastAsia="仿宋"/>
          <w:sz w:val="32"/>
          <w:szCs w:val="32"/>
        </w:rPr>
      </w:pPr>
    </w:p>
    <w:p w14:paraId="2239A4C1">
      <w:pPr>
        <w:pStyle w:val="2"/>
        <w:rPr>
          <w:rFonts w:hint="eastAsia" w:ascii="Times New Roman" w:hAnsi="Times New Roman" w:eastAsia="仿宋"/>
          <w:sz w:val="32"/>
          <w:szCs w:val="32"/>
        </w:rPr>
      </w:pPr>
    </w:p>
    <w:p w14:paraId="56DD7BE8">
      <w:pPr>
        <w:pStyle w:val="2"/>
        <w:rPr>
          <w:rFonts w:hint="eastAsia" w:ascii="Times New Roman" w:hAnsi="Times New Roman" w:eastAsia="仿宋"/>
          <w:sz w:val="32"/>
          <w:szCs w:val="32"/>
        </w:rPr>
      </w:pPr>
    </w:p>
    <w:p w14:paraId="1C067132">
      <w:pPr>
        <w:pStyle w:val="2"/>
        <w:rPr>
          <w:rFonts w:hint="eastAsia" w:ascii="Times New Roman" w:hAnsi="Times New Roman" w:eastAsia="仿宋"/>
          <w:sz w:val="32"/>
          <w:szCs w:val="32"/>
        </w:rPr>
      </w:pPr>
    </w:p>
    <w:p w14:paraId="4280148F">
      <w:pPr>
        <w:pStyle w:val="2"/>
        <w:rPr>
          <w:rFonts w:hint="eastAsia" w:ascii="Times New Roman" w:hAnsi="Times New Roman" w:eastAsia="仿宋"/>
          <w:sz w:val="32"/>
          <w:szCs w:val="32"/>
        </w:rPr>
      </w:pPr>
    </w:p>
    <w:p w14:paraId="0879073F">
      <w:pPr>
        <w:spacing w:line="560" w:lineRule="exact"/>
        <w:rPr>
          <w:rFonts w:ascii="Times New Roman" w:hAnsi="Times New Roman" w:eastAsia="仿宋"/>
          <w:sz w:val="32"/>
          <w:szCs w:val="32"/>
        </w:rPr>
      </w:pPr>
      <w:r>
        <w:rPr>
          <w:rFonts w:hint="eastAsia" w:ascii="Times New Roman" w:hAnsi="Times New Roman" w:eastAsia="仿宋"/>
          <w:sz w:val="32"/>
          <w:szCs w:val="32"/>
        </w:rPr>
        <w:t>附件</w:t>
      </w:r>
      <w:r>
        <w:rPr>
          <w:rFonts w:hint="eastAsia" w:ascii="Times New Roman" w:hAnsi="Times New Roman" w:eastAsia="仿宋"/>
          <w:sz w:val="32"/>
          <w:szCs w:val="32"/>
          <w:lang w:val="en-US" w:eastAsia="zh-CN"/>
        </w:rPr>
        <w:t>1</w:t>
      </w:r>
      <w:r>
        <w:rPr>
          <w:rFonts w:ascii="Times New Roman" w:hAnsi="Times New Roman" w:eastAsia="仿宋"/>
          <w:sz w:val="32"/>
          <w:szCs w:val="32"/>
        </w:rPr>
        <w:t xml:space="preserve">   </w:t>
      </w:r>
    </w:p>
    <w:p w14:paraId="50C0F6D8">
      <w:pPr>
        <w:widowControl/>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 xml:space="preserve">        </w:t>
      </w:r>
      <w:r>
        <w:rPr>
          <w:rFonts w:hint="eastAsia" w:ascii="方正小标宋简体" w:hAnsi="方正小标宋简体" w:eastAsia="方正小标宋简体" w:cs="方正小标宋简体"/>
          <w:sz w:val="36"/>
          <w:szCs w:val="36"/>
        </w:rPr>
        <w:t>部门整体支出绩效评价基础数据表</w:t>
      </w:r>
    </w:p>
    <w:p w14:paraId="018160A0">
      <w:pPr>
        <w:widowControl/>
        <w:tabs>
          <w:tab w:val="left" w:pos="3611"/>
          <w:tab w:val="left" w:pos="4791"/>
          <w:tab w:val="left" w:pos="5951"/>
          <w:tab w:val="left" w:pos="7071"/>
          <w:tab w:val="left" w:pos="8191"/>
          <w:tab w:val="left" w:pos="9311"/>
        </w:tabs>
        <w:ind w:left="91"/>
        <w:jc w:val="left"/>
        <w:rPr>
          <w:rFonts w:ascii="Times New Roman" w:hAnsi="Times New Roman" w:eastAsia="Times New Roman"/>
          <w:kern w:val="0"/>
          <w:sz w:val="24"/>
        </w:rPr>
      </w:pPr>
      <w:r>
        <w:rPr>
          <w:rFonts w:ascii="Times New Roman" w:hAnsi="Times New Roman"/>
          <w:kern w:val="0"/>
          <w:sz w:val="24"/>
        </w:rPr>
        <w:t>填报单位：</w:t>
      </w:r>
      <w:r>
        <w:rPr>
          <w:rFonts w:hint="eastAsia" w:ascii="Times New Roman" w:hAnsi="Times New Roman"/>
          <w:kern w:val="0"/>
          <w:sz w:val="24"/>
          <w:lang w:eastAsia="zh-CN"/>
        </w:rPr>
        <w:t>（</w:t>
      </w:r>
      <w:r>
        <w:rPr>
          <w:rFonts w:hint="eastAsia" w:ascii="Times New Roman" w:hAnsi="Times New Roman"/>
          <w:kern w:val="0"/>
          <w:sz w:val="24"/>
          <w:lang w:val="en-US" w:eastAsia="zh-CN"/>
        </w:rPr>
        <w:t>盖章</w:t>
      </w:r>
      <w:r>
        <w:rPr>
          <w:rFonts w:hint="eastAsia" w:ascii="Times New Roman" w:hAnsi="Times New Roman"/>
          <w:kern w:val="0"/>
          <w:sz w:val="24"/>
          <w:lang w:eastAsia="zh-CN"/>
        </w:rPr>
        <w:t>）</w:t>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r>
        <w:rPr>
          <w:rFonts w:ascii="Times New Roman" w:hAnsi="Times New Roman" w:eastAsia="PMingLiU"/>
          <w:kern w:val="0"/>
          <w:sz w:val="24"/>
        </w:rPr>
        <w:tab/>
      </w:r>
    </w:p>
    <w:tbl>
      <w:tblPr>
        <w:tblStyle w:val="3"/>
        <w:tblW w:w="9464" w:type="dxa"/>
        <w:jc w:val="center"/>
        <w:tblLayout w:type="fixed"/>
        <w:tblCellMar>
          <w:top w:w="0" w:type="dxa"/>
          <w:left w:w="108" w:type="dxa"/>
          <w:bottom w:w="0" w:type="dxa"/>
          <w:right w:w="108" w:type="dxa"/>
        </w:tblCellMar>
      </w:tblPr>
      <w:tblGrid>
        <w:gridCol w:w="3354"/>
        <w:gridCol w:w="2038"/>
        <w:gridCol w:w="2240"/>
        <w:gridCol w:w="1832"/>
      </w:tblGrid>
      <w:tr w14:paraId="4AF0E6C8">
        <w:tblPrEx>
          <w:tblCellMar>
            <w:top w:w="0" w:type="dxa"/>
            <w:left w:w="108" w:type="dxa"/>
            <w:bottom w:w="0" w:type="dxa"/>
            <w:right w:w="108" w:type="dxa"/>
          </w:tblCellMar>
        </w:tblPrEx>
        <w:trPr>
          <w:trHeight w:val="25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4B31F007">
            <w:pPr>
              <w:widowControl/>
              <w:jc w:val="center"/>
              <w:rPr>
                <w:rFonts w:ascii="Times New Roman" w:hAnsi="Times New Roman" w:eastAsia="Times New Roman"/>
                <w:kern w:val="0"/>
                <w:szCs w:val="21"/>
              </w:rPr>
            </w:pPr>
            <w:r>
              <w:rPr>
                <w:rFonts w:hint="eastAsia" w:ascii="Times New Roman" w:hAnsi="Times New Roman"/>
                <w:kern w:val="0"/>
                <w:szCs w:val="21"/>
              </w:rPr>
              <w:t>财政供养人员情况</w:t>
            </w:r>
          </w:p>
        </w:tc>
        <w:tc>
          <w:tcPr>
            <w:tcW w:w="2038" w:type="dxa"/>
            <w:tcBorders>
              <w:top w:val="single" w:color="auto" w:sz="4" w:space="0"/>
              <w:left w:val="nil"/>
              <w:bottom w:val="single" w:color="auto" w:sz="4" w:space="0"/>
              <w:right w:val="single" w:color="auto" w:sz="4" w:space="0"/>
            </w:tcBorders>
            <w:vAlign w:val="center"/>
          </w:tcPr>
          <w:p w14:paraId="065BEBB2">
            <w:pPr>
              <w:widowControl/>
              <w:jc w:val="center"/>
              <w:rPr>
                <w:rFonts w:ascii="Times New Roman" w:hAnsi="Times New Roman" w:eastAsia="Times New Roman"/>
                <w:b/>
                <w:bCs/>
                <w:kern w:val="0"/>
                <w:szCs w:val="21"/>
              </w:rPr>
            </w:pPr>
            <w:r>
              <w:rPr>
                <w:rFonts w:ascii="Times New Roman" w:hAnsi="Times New Roman"/>
                <w:b/>
                <w:bCs/>
                <w:kern w:val="0"/>
                <w:szCs w:val="21"/>
              </w:rPr>
              <w:t>编制数</w:t>
            </w:r>
          </w:p>
        </w:tc>
        <w:tc>
          <w:tcPr>
            <w:tcW w:w="2240" w:type="dxa"/>
            <w:tcBorders>
              <w:top w:val="single" w:color="auto" w:sz="4" w:space="0"/>
              <w:left w:val="nil"/>
              <w:bottom w:val="single" w:color="auto" w:sz="4" w:space="0"/>
              <w:right w:val="single" w:color="auto" w:sz="4" w:space="0"/>
            </w:tcBorders>
            <w:vAlign w:val="center"/>
          </w:tcPr>
          <w:p w14:paraId="306483FD">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年实际在职人数</w:t>
            </w:r>
          </w:p>
        </w:tc>
        <w:tc>
          <w:tcPr>
            <w:tcW w:w="1832" w:type="dxa"/>
            <w:tcBorders>
              <w:top w:val="single" w:color="auto" w:sz="4" w:space="0"/>
              <w:left w:val="nil"/>
              <w:bottom w:val="single" w:color="auto" w:sz="4" w:space="0"/>
              <w:right w:val="single" w:color="auto" w:sz="4" w:space="0"/>
            </w:tcBorders>
            <w:vAlign w:val="center"/>
          </w:tcPr>
          <w:p w14:paraId="136481C2">
            <w:pPr>
              <w:widowControl/>
              <w:jc w:val="center"/>
              <w:rPr>
                <w:rFonts w:ascii="Times New Roman" w:hAnsi="Times New Roman" w:eastAsia="Times New Roman"/>
                <w:b/>
                <w:bCs/>
                <w:kern w:val="0"/>
                <w:szCs w:val="21"/>
              </w:rPr>
            </w:pPr>
            <w:r>
              <w:rPr>
                <w:rFonts w:ascii="Times New Roman" w:hAnsi="Times New Roman"/>
                <w:b/>
                <w:bCs/>
                <w:kern w:val="0"/>
                <w:szCs w:val="21"/>
              </w:rPr>
              <w:t>控制率</w:t>
            </w:r>
          </w:p>
        </w:tc>
      </w:tr>
      <w:tr w14:paraId="519B10A0">
        <w:tblPrEx>
          <w:tblCellMar>
            <w:top w:w="0" w:type="dxa"/>
            <w:left w:w="108" w:type="dxa"/>
            <w:bottom w:w="0" w:type="dxa"/>
            <w:right w:w="108" w:type="dxa"/>
          </w:tblCellMar>
        </w:tblPrEx>
        <w:trPr>
          <w:trHeight w:val="206"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43674864">
            <w:pPr>
              <w:widowControl/>
              <w:jc w:val="left"/>
              <w:rPr>
                <w:rFonts w:ascii="Times New Roman" w:hAnsi="Times New Roman" w:eastAsia="Times New Roman"/>
                <w:kern w:val="0"/>
                <w:szCs w:val="21"/>
              </w:rPr>
            </w:pPr>
          </w:p>
        </w:tc>
        <w:tc>
          <w:tcPr>
            <w:tcW w:w="2038" w:type="dxa"/>
            <w:tcBorders>
              <w:top w:val="single" w:color="auto" w:sz="4" w:space="0"/>
              <w:left w:val="nil"/>
              <w:bottom w:val="single" w:color="auto" w:sz="4" w:space="0"/>
              <w:right w:val="single" w:color="auto" w:sz="4" w:space="0"/>
            </w:tcBorders>
            <w:vAlign w:val="center"/>
          </w:tcPr>
          <w:p w14:paraId="70CBCE8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116</w:t>
            </w:r>
          </w:p>
        </w:tc>
        <w:tc>
          <w:tcPr>
            <w:tcW w:w="2240" w:type="dxa"/>
            <w:tcBorders>
              <w:top w:val="single" w:color="auto" w:sz="4" w:space="0"/>
              <w:left w:val="nil"/>
              <w:bottom w:val="single" w:color="auto" w:sz="4" w:space="0"/>
              <w:right w:val="single" w:color="auto" w:sz="4" w:space="0"/>
            </w:tcBorders>
            <w:vAlign w:val="center"/>
          </w:tcPr>
          <w:p w14:paraId="47000EA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106</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auto" w:sz="4" w:space="0"/>
            </w:tcBorders>
            <w:vAlign w:val="center"/>
          </w:tcPr>
          <w:p w14:paraId="404F2DF5">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91.38%</w:t>
            </w:r>
            <w:r>
              <w:rPr>
                <w:rFonts w:hint="eastAsia" w:ascii="Times New Roman" w:hAnsi="Times New Roman"/>
                <w:kern w:val="0"/>
                <w:szCs w:val="21"/>
              </w:rPr>
              <w:t>　</w:t>
            </w:r>
          </w:p>
        </w:tc>
      </w:tr>
      <w:tr w14:paraId="113BDEC7">
        <w:tblPrEx>
          <w:tblCellMar>
            <w:top w:w="0" w:type="dxa"/>
            <w:left w:w="108" w:type="dxa"/>
            <w:bottom w:w="0" w:type="dxa"/>
            <w:right w:w="108" w:type="dxa"/>
          </w:tblCellMar>
        </w:tblPrEx>
        <w:trPr>
          <w:trHeight w:val="465" w:hRule="atLeast"/>
          <w:jc w:val="center"/>
        </w:trPr>
        <w:tc>
          <w:tcPr>
            <w:tcW w:w="3354" w:type="dxa"/>
            <w:tcBorders>
              <w:top w:val="nil"/>
              <w:left w:val="single" w:color="auto" w:sz="4" w:space="0"/>
              <w:bottom w:val="single" w:color="auto" w:sz="4" w:space="0"/>
              <w:right w:val="single" w:color="auto" w:sz="4" w:space="0"/>
            </w:tcBorders>
            <w:vAlign w:val="center"/>
          </w:tcPr>
          <w:p w14:paraId="5B404A44">
            <w:pPr>
              <w:widowControl/>
              <w:jc w:val="center"/>
              <w:rPr>
                <w:rFonts w:ascii="Times New Roman" w:hAnsi="Times New Roman" w:eastAsia="Times New Roman"/>
                <w:kern w:val="0"/>
                <w:szCs w:val="21"/>
              </w:rPr>
            </w:pPr>
            <w:r>
              <w:rPr>
                <w:rFonts w:hint="eastAsia" w:ascii="Times New Roman" w:hAnsi="Times New Roman"/>
                <w:kern w:val="0"/>
                <w:szCs w:val="21"/>
              </w:rPr>
              <w:t>经费控制情况</w:t>
            </w:r>
          </w:p>
        </w:tc>
        <w:tc>
          <w:tcPr>
            <w:tcW w:w="2038" w:type="dxa"/>
            <w:tcBorders>
              <w:top w:val="single" w:color="auto" w:sz="4" w:space="0"/>
              <w:left w:val="nil"/>
              <w:bottom w:val="single" w:color="auto" w:sz="4" w:space="0"/>
              <w:right w:val="single" w:color="000000" w:sz="4" w:space="0"/>
            </w:tcBorders>
            <w:vAlign w:val="center"/>
          </w:tcPr>
          <w:p w14:paraId="0E288AA0">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1</w:t>
            </w:r>
            <w:r>
              <w:rPr>
                <w:rFonts w:ascii="Times New Roman" w:hAnsi="Times New Roman"/>
                <w:b/>
                <w:bCs/>
                <w:kern w:val="0"/>
                <w:szCs w:val="21"/>
              </w:rPr>
              <w:t>年决算数</w:t>
            </w:r>
          </w:p>
        </w:tc>
        <w:tc>
          <w:tcPr>
            <w:tcW w:w="2240" w:type="dxa"/>
            <w:tcBorders>
              <w:top w:val="single" w:color="auto" w:sz="4" w:space="0"/>
              <w:left w:val="nil"/>
              <w:bottom w:val="single" w:color="auto" w:sz="4" w:space="0"/>
              <w:right w:val="single" w:color="000000" w:sz="4" w:space="0"/>
            </w:tcBorders>
            <w:vAlign w:val="center"/>
          </w:tcPr>
          <w:p w14:paraId="3450CAB2">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年预算数</w:t>
            </w:r>
          </w:p>
        </w:tc>
        <w:tc>
          <w:tcPr>
            <w:tcW w:w="1832" w:type="dxa"/>
            <w:tcBorders>
              <w:top w:val="single" w:color="auto" w:sz="4" w:space="0"/>
              <w:left w:val="nil"/>
              <w:bottom w:val="single" w:color="auto" w:sz="4" w:space="0"/>
              <w:right w:val="single" w:color="000000" w:sz="4" w:space="0"/>
            </w:tcBorders>
            <w:vAlign w:val="center"/>
          </w:tcPr>
          <w:p w14:paraId="128FB2C8">
            <w:pPr>
              <w:widowControl/>
              <w:jc w:val="center"/>
              <w:rPr>
                <w:rFonts w:ascii="Times New Roman" w:hAnsi="Times New Roman" w:eastAsia="Times New Roman"/>
                <w:b/>
                <w:bCs/>
                <w:kern w:val="0"/>
                <w:szCs w:val="21"/>
              </w:rPr>
            </w:pPr>
            <w:r>
              <w:rPr>
                <w:rFonts w:ascii="Times New Roman" w:hAnsi="Times New Roman"/>
                <w:b/>
                <w:bCs/>
                <w:kern w:val="0"/>
                <w:szCs w:val="21"/>
              </w:rPr>
              <w:t>202</w:t>
            </w:r>
            <w:r>
              <w:rPr>
                <w:rFonts w:hint="eastAsia" w:ascii="Times New Roman" w:hAnsi="Times New Roman"/>
                <w:b/>
                <w:bCs/>
                <w:kern w:val="0"/>
                <w:szCs w:val="21"/>
              </w:rPr>
              <w:t>2</w:t>
            </w:r>
            <w:r>
              <w:rPr>
                <w:rFonts w:ascii="Times New Roman" w:hAnsi="Times New Roman"/>
                <w:b/>
                <w:bCs/>
                <w:kern w:val="0"/>
                <w:szCs w:val="21"/>
              </w:rPr>
              <w:t>年决算数</w:t>
            </w:r>
          </w:p>
        </w:tc>
      </w:tr>
      <w:tr w14:paraId="7E28D676">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259414A2">
            <w:pPr>
              <w:widowControl/>
              <w:jc w:val="left"/>
              <w:rPr>
                <w:rFonts w:ascii="Times New Roman" w:hAnsi="Times New Roman" w:eastAsia="Times New Roman"/>
                <w:kern w:val="0"/>
                <w:szCs w:val="21"/>
              </w:rPr>
            </w:pPr>
            <w:r>
              <w:rPr>
                <w:rFonts w:hint="eastAsia" w:ascii="Times New Roman" w:hAnsi="Times New Roman"/>
                <w:kern w:val="0"/>
                <w:szCs w:val="21"/>
              </w:rPr>
              <w:t>一、部门基本支出</w:t>
            </w:r>
          </w:p>
        </w:tc>
        <w:tc>
          <w:tcPr>
            <w:tcW w:w="2038" w:type="dxa"/>
            <w:tcBorders>
              <w:top w:val="single" w:color="auto" w:sz="4" w:space="0"/>
              <w:left w:val="nil"/>
              <w:bottom w:val="single" w:color="auto" w:sz="4" w:space="0"/>
              <w:right w:val="single" w:color="000000" w:sz="4" w:space="0"/>
            </w:tcBorders>
            <w:vAlign w:val="center"/>
          </w:tcPr>
          <w:p w14:paraId="5B7662EF">
            <w:pPr>
              <w:widowControl/>
              <w:jc w:val="center"/>
              <w:rPr>
                <w:rFonts w:hint="eastAsia" w:ascii="Times New Roman" w:hAnsi="Times New Roman" w:eastAsia="宋体"/>
                <w:kern w:val="0"/>
                <w:szCs w:val="21"/>
                <w:lang w:val="en-US" w:eastAsia="zh-CN"/>
              </w:rPr>
            </w:pPr>
            <w:r>
              <w:rPr>
                <w:rFonts w:hint="eastAsia" w:ascii="Times New Roman" w:hAnsi="Times New Roman" w:eastAsia="Times New Roman"/>
                <w:kern w:val="0"/>
                <w:szCs w:val="21"/>
              </w:rPr>
              <w:t>197138895.33</w:t>
            </w:r>
          </w:p>
        </w:tc>
        <w:tc>
          <w:tcPr>
            <w:tcW w:w="2240" w:type="dxa"/>
            <w:tcBorders>
              <w:top w:val="single" w:color="auto" w:sz="4" w:space="0"/>
              <w:left w:val="nil"/>
              <w:bottom w:val="single" w:color="auto" w:sz="4" w:space="0"/>
              <w:right w:val="single" w:color="000000" w:sz="4" w:space="0"/>
            </w:tcBorders>
            <w:vAlign w:val="center"/>
          </w:tcPr>
          <w:p w14:paraId="50616044">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13414800</w:t>
            </w:r>
          </w:p>
        </w:tc>
        <w:tc>
          <w:tcPr>
            <w:tcW w:w="1832" w:type="dxa"/>
            <w:tcBorders>
              <w:top w:val="single" w:color="auto" w:sz="4" w:space="0"/>
              <w:left w:val="nil"/>
              <w:bottom w:val="single" w:color="auto" w:sz="4" w:space="0"/>
              <w:right w:val="single" w:color="000000" w:sz="4" w:space="0"/>
            </w:tcBorders>
            <w:vAlign w:val="center"/>
          </w:tcPr>
          <w:p w14:paraId="6E1C61B6">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68512133.98</w:t>
            </w:r>
          </w:p>
        </w:tc>
      </w:tr>
      <w:tr w14:paraId="69A63D8E">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3251E12C">
            <w:pPr>
              <w:widowControl/>
              <w:jc w:val="left"/>
              <w:rPr>
                <w:rFonts w:ascii="Times New Roman" w:hAnsi="Times New Roman" w:eastAsia="Times New Roman"/>
                <w:kern w:val="0"/>
                <w:szCs w:val="21"/>
              </w:rPr>
            </w:pPr>
            <w:r>
              <w:rPr>
                <w:rFonts w:hint="eastAsia" w:ascii="Times New Roman" w:hAnsi="Times New Roman"/>
                <w:kern w:val="0"/>
                <w:szCs w:val="21"/>
              </w:rPr>
              <w:t>其中：公用经费</w:t>
            </w:r>
          </w:p>
        </w:tc>
        <w:tc>
          <w:tcPr>
            <w:tcW w:w="2038" w:type="dxa"/>
            <w:tcBorders>
              <w:top w:val="single" w:color="auto" w:sz="4" w:space="0"/>
              <w:left w:val="nil"/>
              <w:bottom w:val="single" w:color="auto" w:sz="4" w:space="0"/>
              <w:right w:val="single" w:color="000000" w:sz="4" w:space="0"/>
            </w:tcBorders>
            <w:vAlign w:val="center"/>
          </w:tcPr>
          <w:p w14:paraId="206BC372">
            <w:pPr>
              <w:widowControl/>
              <w:jc w:val="center"/>
              <w:rPr>
                <w:rFonts w:hint="eastAsia" w:ascii="Times New Roman" w:hAnsi="Times New Roman" w:eastAsia="宋体"/>
                <w:kern w:val="0"/>
                <w:szCs w:val="21"/>
                <w:lang w:val="en-US" w:eastAsia="zh-CN"/>
              </w:rPr>
            </w:pPr>
            <w:r>
              <w:rPr>
                <w:rFonts w:hint="eastAsia" w:ascii="Times New Roman" w:hAnsi="Times New Roman" w:eastAsia="Times New Roman"/>
                <w:kern w:val="0"/>
                <w:szCs w:val="21"/>
              </w:rPr>
              <w:t>176340518.20</w:t>
            </w:r>
          </w:p>
        </w:tc>
        <w:tc>
          <w:tcPr>
            <w:tcW w:w="2240" w:type="dxa"/>
            <w:tcBorders>
              <w:top w:val="single" w:color="auto" w:sz="4" w:space="0"/>
              <w:left w:val="nil"/>
              <w:bottom w:val="single" w:color="auto" w:sz="4" w:space="0"/>
              <w:right w:val="single" w:color="000000" w:sz="4" w:space="0"/>
            </w:tcBorders>
            <w:vAlign w:val="center"/>
          </w:tcPr>
          <w:p w14:paraId="293F430A">
            <w:pPr>
              <w:widowControl/>
              <w:jc w:val="center"/>
              <w:rPr>
                <w:rFonts w:hint="default"/>
                <w:lang w:val="en-US" w:eastAsia="zh-CN"/>
              </w:rPr>
            </w:pPr>
            <w:r>
              <w:rPr>
                <w:rFonts w:hint="eastAsia"/>
                <w:lang w:val="en-US" w:eastAsia="zh-CN"/>
              </w:rPr>
              <w:t>1826600</w:t>
            </w:r>
          </w:p>
        </w:tc>
        <w:tc>
          <w:tcPr>
            <w:tcW w:w="1832" w:type="dxa"/>
            <w:tcBorders>
              <w:top w:val="single" w:color="auto" w:sz="4" w:space="0"/>
              <w:left w:val="nil"/>
              <w:bottom w:val="single" w:color="auto" w:sz="4" w:space="0"/>
              <w:right w:val="single" w:color="000000" w:sz="4" w:space="0"/>
            </w:tcBorders>
            <w:vAlign w:val="center"/>
          </w:tcPr>
          <w:p w14:paraId="53BA6AE1">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47353868.14</w:t>
            </w:r>
          </w:p>
        </w:tc>
      </w:tr>
      <w:tr w14:paraId="3F17D3A9">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1BA6B767">
            <w:pPr>
              <w:widowControl/>
              <w:jc w:val="left"/>
              <w:rPr>
                <w:rFonts w:ascii="Times New Roman" w:hAnsi="Times New Roman" w:eastAsia="Times New Roman"/>
                <w:kern w:val="0"/>
                <w:szCs w:val="21"/>
              </w:rPr>
            </w:pPr>
            <w:r>
              <w:rPr>
                <w:rFonts w:hint="eastAsia" w:ascii="Times New Roman" w:hAnsi="Times New Roman"/>
                <w:kern w:val="0"/>
                <w:szCs w:val="21"/>
              </w:rPr>
              <w:t>其中：办公经费</w:t>
            </w:r>
          </w:p>
        </w:tc>
        <w:tc>
          <w:tcPr>
            <w:tcW w:w="2038" w:type="dxa"/>
            <w:tcBorders>
              <w:top w:val="single" w:color="auto" w:sz="4" w:space="0"/>
              <w:left w:val="nil"/>
              <w:bottom w:val="single" w:color="auto" w:sz="4" w:space="0"/>
              <w:right w:val="single" w:color="000000" w:sz="4" w:space="0"/>
            </w:tcBorders>
            <w:vAlign w:val="center"/>
          </w:tcPr>
          <w:p w14:paraId="02DF7CAC">
            <w:pPr>
              <w:widowControl/>
              <w:jc w:val="center"/>
              <w:rPr>
                <w:rFonts w:hint="eastAsia" w:ascii="Times New Roman" w:hAnsi="Times New Roman" w:eastAsia="宋体"/>
                <w:kern w:val="0"/>
                <w:szCs w:val="21"/>
                <w:lang w:val="en-US" w:eastAsia="zh-CN"/>
              </w:rPr>
            </w:pPr>
            <w:r>
              <w:rPr>
                <w:rFonts w:hint="eastAsia" w:ascii="Times New Roman" w:hAnsi="Times New Roman" w:eastAsia="Times New Roman"/>
                <w:kern w:val="0"/>
                <w:szCs w:val="21"/>
              </w:rPr>
              <w:t>241466.39</w:t>
            </w:r>
          </w:p>
        </w:tc>
        <w:tc>
          <w:tcPr>
            <w:tcW w:w="2240" w:type="dxa"/>
            <w:tcBorders>
              <w:top w:val="single" w:color="auto" w:sz="4" w:space="0"/>
              <w:left w:val="nil"/>
              <w:bottom w:val="single" w:color="auto" w:sz="4" w:space="0"/>
              <w:right w:val="single" w:color="000000" w:sz="4" w:space="0"/>
            </w:tcBorders>
            <w:vAlign w:val="center"/>
          </w:tcPr>
          <w:p w14:paraId="5BDA4B75">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305000</w:t>
            </w:r>
          </w:p>
        </w:tc>
        <w:tc>
          <w:tcPr>
            <w:tcW w:w="1832" w:type="dxa"/>
            <w:tcBorders>
              <w:top w:val="single" w:color="auto" w:sz="4" w:space="0"/>
              <w:left w:val="nil"/>
              <w:bottom w:val="single" w:color="auto" w:sz="4" w:space="0"/>
              <w:right w:val="single" w:color="000000" w:sz="4" w:space="0"/>
            </w:tcBorders>
            <w:vAlign w:val="center"/>
          </w:tcPr>
          <w:p w14:paraId="41BAED0F">
            <w:pPr>
              <w:widowControl/>
              <w:jc w:val="center"/>
              <w:rPr>
                <w:rFonts w:ascii="Times New Roman" w:hAnsi="Times New Roman" w:eastAsia="Times New Roman"/>
                <w:kern w:val="0"/>
                <w:szCs w:val="21"/>
              </w:rPr>
            </w:pPr>
            <w:r>
              <w:rPr>
                <w:rFonts w:hint="eastAsia" w:ascii="Times New Roman" w:hAnsi="Times New Roman" w:eastAsia="Times New Roman"/>
                <w:kern w:val="0"/>
                <w:szCs w:val="21"/>
              </w:rPr>
              <w:t>321224.15</w:t>
            </w:r>
          </w:p>
        </w:tc>
      </w:tr>
      <w:tr w14:paraId="7C5DA7B7">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5DC2106F">
            <w:pPr>
              <w:widowControl/>
              <w:jc w:val="left"/>
              <w:rPr>
                <w:rFonts w:ascii="Times New Roman" w:hAnsi="Times New Roman" w:eastAsia="Times New Roman"/>
                <w:kern w:val="0"/>
                <w:szCs w:val="21"/>
              </w:rPr>
            </w:pPr>
            <w:r>
              <w:rPr>
                <w:rFonts w:hint="eastAsia" w:ascii="Times New Roman" w:hAnsi="Times New Roman"/>
                <w:kern w:val="0"/>
                <w:szCs w:val="21"/>
              </w:rPr>
              <w:t>水费、电费、差旅费</w:t>
            </w:r>
          </w:p>
        </w:tc>
        <w:tc>
          <w:tcPr>
            <w:tcW w:w="2038" w:type="dxa"/>
            <w:tcBorders>
              <w:top w:val="single" w:color="auto" w:sz="4" w:space="0"/>
              <w:left w:val="nil"/>
              <w:bottom w:val="single" w:color="auto" w:sz="4" w:space="0"/>
              <w:right w:val="single" w:color="000000" w:sz="4" w:space="0"/>
            </w:tcBorders>
            <w:vAlign w:val="center"/>
          </w:tcPr>
          <w:p w14:paraId="6CCFFA69">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320908.18</w:t>
            </w:r>
          </w:p>
        </w:tc>
        <w:tc>
          <w:tcPr>
            <w:tcW w:w="2240" w:type="dxa"/>
            <w:tcBorders>
              <w:top w:val="single" w:color="auto" w:sz="4" w:space="0"/>
              <w:left w:val="nil"/>
              <w:bottom w:val="single" w:color="auto" w:sz="4" w:space="0"/>
              <w:right w:val="single" w:color="000000" w:sz="4" w:space="0"/>
            </w:tcBorders>
            <w:vAlign w:val="center"/>
          </w:tcPr>
          <w:p w14:paraId="622A1B9D">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315000</w:t>
            </w:r>
          </w:p>
        </w:tc>
        <w:tc>
          <w:tcPr>
            <w:tcW w:w="1832" w:type="dxa"/>
            <w:tcBorders>
              <w:top w:val="single" w:color="auto" w:sz="4" w:space="0"/>
              <w:left w:val="nil"/>
              <w:bottom w:val="single" w:color="auto" w:sz="4" w:space="0"/>
              <w:right w:val="single" w:color="000000" w:sz="4" w:space="0"/>
            </w:tcBorders>
            <w:vAlign w:val="center"/>
          </w:tcPr>
          <w:p w14:paraId="7C00F62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286561.26</w:t>
            </w:r>
          </w:p>
        </w:tc>
      </w:tr>
      <w:tr w14:paraId="5FE8B2BC">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118B8304">
            <w:pPr>
              <w:widowControl/>
              <w:jc w:val="left"/>
              <w:rPr>
                <w:rFonts w:ascii="Times New Roman" w:hAnsi="Times New Roman" w:eastAsia="Times New Roman"/>
                <w:kern w:val="0"/>
                <w:szCs w:val="21"/>
              </w:rPr>
            </w:pPr>
            <w:r>
              <w:rPr>
                <w:rFonts w:hint="eastAsia" w:ascii="Times New Roman" w:hAnsi="Times New Roman"/>
                <w:kern w:val="0"/>
                <w:szCs w:val="21"/>
              </w:rPr>
              <w:t>会议费、培训费</w:t>
            </w:r>
          </w:p>
        </w:tc>
        <w:tc>
          <w:tcPr>
            <w:tcW w:w="2038" w:type="dxa"/>
            <w:tcBorders>
              <w:top w:val="single" w:color="auto" w:sz="4" w:space="0"/>
              <w:left w:val="nil"/>
              <w:bottom w:val="single" w:color="auto" w:sz="4" w:space="0"/>
              <w:right w:val="single" w:color="000000" w:sz="4" w:space="0"/>
            </w:tcBorders>
            <w:vAlign w:val="center"/>
          </w:tcPr>
          <w:p w14:paraId="278E5BE5">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6780</w:t>
            </w:r>
          </w:p>
        </w:tc>
        <w:tc>
          <w:tcPr>
            <w:tcW w:w="2240" w:type="dxa"/>
            <w:tcBorders>
              <w:top w:val="single" w:color="auto" w:sz="4" w:space="0"/>
              <w:left w:val="nil"/>
              <w:bottom w:val="single" w:color="auto" w:sz="4" w:space="0"/>
              <w:right w:val="single" w:color="000000" w:sz="4" w:space="0"/>
            </w:tcBorders>
            <w:vAlign w:val="center"/>
          </w:tcPr>
          <w:p w14:paraId="77C21330">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40000</w:t>
            </w:r>
          </w:p>
        </w:tc>
        <w:tc>
          <w:tcPr>
            <w:tcW w:w="1832" w:type="dxa"/>
            <w:tcBorders>
              <w:top w:val="single" w:color="auto" w:sz="4" w:space="0"/>
              <w:left w:val="nil"/>
              <w:bottom w:val="single" w:color="auto" w:sz="4" w:space="0"/>
              <w:right w:val="single" w:color="000000" w:sz="4" w:space="0"/>
            </w:tcBorders>
            <w:vAlign w:val="center"/>
          </w:tcPr>
          <w:p w14:paraId="0A00DB99">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31357</w:t>
            </w:r>
          </w:p>
        </w:tc>
      </w:tr>
      <w:tr w14:paraId="53B63A97">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4FC00AA5">
            <w:pPr>
              <w:widowControl/>
              <w:jc w:val="left"/>
              <w:rPr>
                <w:rFonts w:hint="eastAsia" w:ascii="Times New Roman" w:hAnsi="Times New Roman" w:eastAsia="宋体"/>
                <w:kern w:val="0"/>
                <w:szCs w:val="21"/>
                <w:lang w:eastAsia="zh-CN"/>
              </w:rPr>
            </w:pPr>
            <w:r>
              <w:rPr>
                <w:rFonts w:hint="eastAsia" w:ascii="Times New Roman" w:hAnsi="Times New Roman"/>
                <w:kern w:val="0"/>
                <w:szCs w:val="21"/>
                <w:lang w:eastAsia="zh-CN"/>
              </w:rPr>
              <w:t>物业管理费</w:t>
            </w:r>
          </w:p>
        </w:tc>
        <w:tc>
          <w:tcPr>
            <w:tcW w:w="2038" w:type="dxa"/>
            <w:tcBorders>
              <w:top w:val="single" w:color="auto" w:sz="4" w:space="0"/>
              <w:left w:val="nil"/>
              <w:bottom w:val="single" w:color="auto" w:sz="4" w:space="0"/>
              <w:right w:val="single" w:color="000000" w:sz="4" w:space="0"/>
            </w:tcBorders>
            <w:vAlign w:val="center"/>
          </w:tcPr>
          <w:p w14:paraId="1768C75D">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598990.75</w:t>
            </w:r>
          </w:p>
        </w:tc>
        <w:tc>
          <w:tcPr>
            <w:tcW w:w="2240" w:type="dxa"/>
            <w:tcBorders>
              <w:top w:val="single" w:color="auto" w:sz="4" w:space="0"/>
              <w:left w:val="nil"/>
              <w:bottom w:val="single" w:color="auto" w:sz="4" w:space="0"/>
              <w:right w:val="single" w:color="000000" w:sz="4" w:space="0"/>
            </w:tcBorders>
            <w:vAlign w:val="center"/>
          </w:tcPr>
          <w:p w14:paraId="60946266">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492000</w:t>
            </w:r>
          </w:p>
        </w:tc>
        <w:tc>
          <w:tcPr>
            <w:tcW w:w="1832" w:type="dxa"/>
            <w:tcBorders>
              <w:top w:val="single" w:color="auto" w:sz="4" w:space="0"/>
              <w:left w:val="nil"/>
              <w:bottom w:val="single" w:color="auto" w:sz="4" w:space="0"/>
              <w:right w:val="single" w:color="000000" w:sz="4" w:space="0"/>
            </w:tcBorders>
            <w:vAlign w:val="center"/>
          </w:tcPr>
          <w:p w14:paraId="11CA916A">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425951.50</w:t>
            </w:r>
          </w:p>
        </w:tc>
      </w:tr>
      <w:tr w14:paraId="5095FDBC">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41593F89">
            <w:pPr>
              <w:widowControl/>
              <w:jc w:val="left"/>
              <w:rPr>
                <w:rFonts w:hint="eastAsia" w:ascii="Times New Roman" w:hAnsi="Times New Roman" w:eastAsia="宋体"/>
                <w:kern w:val="0"/>
                <w:szCs w:val="21"/>
                <w:lang w:eastAsia="zh-CN"/>
              </w:rPr>
            </w:pPr>
            <w:r>
              <w:rPr>
                <w:rFonts w:hint="eastAsia" w:ascii="Times New Roman" w:hAnsi="Times New Roman"/>
                <w:kern w:val="0"/>
                <w:szCs w:val="21"/>
                <w:lang w:eastAsia="zh-CN"/>
              </w:rPr>
              <w:t>工会经费</w:t>
            </w:r>
          </w:p>
        </w:tc>
        <w:tc>
          <w:tcPr>
            <w:tcW w:w="2038" w:type="dxa"/>
            <w:tcBorders>
              <w:top w:val="single" w:color="auto" w:sz="4" w:space="0"/>
              <w:left w:val="nil"/>
              <w:bottom w:val="single" w:color="auto" w:sz="4" w:space="0"/>
              <w:right w:val="single" w:color="000000" w:sz="4" w:space="0"/>
            </w:tcBorders>
            <w:vAlign w:val="center"/>
          </w:tcPr>
          <w:p w14:paraId="6398F13A">
            <w:pPr>
              <w:widowControl/>
              <w:jc w:val="center"/>
              <w:rPr>
                <w:rFonts w:hint="default" w:ascii="Times New Roman" w:hAnsi="Times New Roman"/>
                <w:kern w:val="0"/>
                <w:szCs w:val="21"/>
                <w:lang w:val="en-US" w:eastAsia="zh-CN"/>
              </w:rPr>
            </w:pPr>
            <w:r>
              <w:rPr>
                <w:rFonts w:hint="eastAsia"/>
                <w:lang w:val="en-US" w:eastAsia="zh-CN"/>
              </w:rPr>
              <w:t>722000</w:t>
            </w:r>
          </w:p>
        </w:tc>
        <w:tc>
          <w:tcPr>
            <w:tcW w:w="2240" w:type="dxa"/>
            <w:tcBorders>
              <w:top w:val="single" w:color="auto" w:sz="4" w:space="0"/>
              <w:left w:val="nil"/>
              <w:bottom w:val="single" w:color="auto" w:sz="4" w:space="0"/>
              <w:right w:val="single" w:color="000000" w:sz="4" w:space="0"/>
            </w:tcBorders>
            <w:vAlign w:val="center"/>
          </w:tcPr>
          <w:p w14:paraId="056D3FB0">
            <w:pPr>
              <w:widowControl/>
              <w:jc w:val="center"/>
              <w:rPr>
                <w:rFonts w:hint="default"/>
                <w:lang w:val="en-US" w:eastAsia="zh-CN"/>
              </w:rPr>
            </w:pPr>
            <w:r>
              <w:rPr>
                <w:rFonts w:hint="eastAsia"/>
                <w:lang w:val="en-US" w:eastAsia="zh-CN"/>
              </w:rPr>
              <w:t>677375.44</w:t>
            </w:r>
          </w:p>
        </w:tc>
        <w:tc>
          <w:tcPr>
            <w:tcW w:w="1832" w:type="dxa"/>
            <w:tcBorders>
              <w:top w:val="single" w:color="auto" w:sz="4" w:space="0"/>
              <w:left w:val="nil"/>
              <w:bottom w:val="single" w:color="auto" w:sz="4" w:space="0"/>
              <w:right w:val="single" w:color="000000" w:sz="4" w:space="0"/>
            </w:tcBorders>
            <w:vAlign w:val="center"/>
          </w:tcPr>
          <w:p w14:paraId="658912F3">
            <w:pPr>
              <w:widowControl/>
              <w:jc w:val="center"/>
              <w:rPr>
                <w:rFonts w:hint="default" w:ascii="Times New Roman" w:hAnsi="Times New Roman" w:eastAsia="宋体"/>
                <w:kern w:val="0"/>
                <w:szCs w:val="21"/>
                <w:lang w:val="en-US" w:eastAsia="zh-CN"/>
              </w:rPr>
            </w:pPr>
            <w:r>
              <w:rPr>
                <w:rFonts w:hint="eastAsia"/>
                <w:lang w:val="en-US" w:eastAsia="zh-CN"/>
              </w:rPr>
              <w:t>677375.44</w:t>
            </w:r>
          </w:p>
        </w:tc>
      </w:tr>
      <w:tr w14:paraId="6CFF08D7">
        <w:tblPrEx>
          <w:tblCellMar>
            <w:top w:w="0" w:type="dxa"/>
            <w:left w:w="108" w:type="dxa"/>
            <w:bottom w:w="0" w:type="dxa"/>
            <w:right w:w="108" w:type="dxa"/>
          </w:tblCellMar>
        </w:tblPrEx>
        <w:trPr>
          <w:trHeight w:val="400" w:hRule="atLeast"/>
          <w:jc w:val="center"/>
        </w:trPr>
        <w:tc>
          <w:tcPr>
            <w:tcW w:w="3354" w:type="dxa"/>
            <w:tcBorders>
              <w:top w:val="nil"/>
              <w:left w:val="single" w:color="auto" w:sz="4" w:space="0"/>
              <w:bottom w:val="single" w:color="auto" w:sz="4" w:space="0"/>
              <w:right w:val="single" w:color="auto" w:sz="4" w:space="0"/>
            </w:tcBorders>
            <w:vAlign w:val="center"/>
          </w:tcPr>
          <w:p w14:paraId="68CA5149">
            <w:pPr>
              <w:widowControl/>
              <w:ind w:firstLine="945" w:firstLineChars="450"/>
              <w:jc w:val="left"/>
              <w:rPr>
                <w:rFonts w:ascii="Times New Roman" w:hAnsi="Times New Roman" w:eastAsia="Times New Roman"/>
                <w:kern w:val="0"/>
                <w:szCs w:val="21"/>
              </w:rPr>
            </w:pPr>
            <w:r>
              <w:rPr>
                <w:rFonts w:hint="eastAsia" w:ascii="Times New Roman" w:hAnsi="Times New Roman"/>
                <w:kern w:val="0"/>
                <w:szCs w:val="21"/>
              </w:rPr>
              <w:t>三公经费</w:t>
            </w:r>
          </w:p>
        </w:tc>
        <w:tc>
          <w:tcPr>
            <w:tcW w:w="2038" w:type="dxa"/>
            <w:tcBorders>
              <w:top w:val="single" w:color="auto" w:sz="4" w:space="0"/>
              <w:left w:val="nil"/>
              <w:bottom w:val="single" w:color="auto" w:sz="4" w:space="0"/>
              <w:right w:val="single" w:color="000000" w:sz="4" w:space="0"/>
            </w:tcBorders>
            <w:vAlign w:val="center"/>
          </w:tcPr>
          <w:p w14:paraId="6B087B2E">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1576.6</w:t>
            </w:r>
            <w:r>
              <w:rPr>
                <w:rFonts w:hint="eastAsia"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79EAA988">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20000</w:t>
            </w:r>
          </w:p>
        </w:tc>
        <w:tc>
          <w:tcPr>
            <w:tcW w:w="1832" w:type="dxa"/>
            <w:tcBorders>
              <w:top w:val="single" w:color="auto" w:sz="4" w:space="0"/>
              <w:left w:val="nil"/>
              <w:bottom w:val="single" w:color="auto" w:sz="4" w:space="0"/>
              <w:right w:val="single" w:color="000000" w:sz="4" w:space="0"/>
            </w:tcBorders>
            <w:vAlign w:val="center"/>
          </w:tcPr>
          <w:p w14:paraId="64992CF0">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28960</w:t>
            </w:r>
            <w:r>
              <w:rPr>
                <w:rFonts w:hint="eastAsia" w:ascii="Times New Roman" w:hAnsi="Times New Roman"/>
                <w:kern w:val="0"/>
                <w:szCs w:val="21"/>
              </w:rPr>
              <w:t>　</w:t>
            </w:r>
          </w:p>
        </w:tc>
      </w:tr>
      <w:tr w14:paraId="7594140A">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6532143E">
            <w:pPr>
              <w:widowControl/>
              <w:jc w:val="left"/>
              <w:rPr>
                <w:rFonts w:ascii="Times New Roman" w:hAnsi="Times New Roman" w:eastAsia="Times New Roman"/>
                <w:kern w:val="0"/>
                <w:szCs w:val="21"/>
              </w:rPr>
            </w:pPr>
            <w:r>
              <w:rPr>
                <w:rFonts w:ascii="Times New Roman" w:hAnsi="Times New Roman"/>
                <w:kern w:val="0"/>
                <w:szCs w:val="21"/>
              </w:rPr>
              <w:t xml:space="preserve">   1</w:t>
            </w:r>
            <w:r>
              <w:rPr>
                <w:rFonts w:hint="eastAsia" w:ascii="Times New Roman" w:hAnsi="Times New Roman"/>
                <w:kern w:val="0"/>
                <w:szCs w:val="21"/>
              </w:rPr>
              <w:t>、公务用车购置和维护经费</w:t>
            </w:r>
          </w:p>
        </w:tc>
        <w:tc>
          <w:tcPr>
            <w:tcW w:w="2038" w:type="dxa"/>
            <w:tcBorders>
              <w:top w:val="single" w:color="auto" w:sz="4" w:space="0"/>
              <w:left w:val="nil"/>
              <w:bottom w:val="single" w:color="auto" w:sz="4" w:space="0"/>
              <w:right w:val="single" w:color="000000" w:sz="4" w:space="0"/>
            </w:tcBorders>
            <w:vAlign w:val="center"/>
          </w:tcPr>
          <w:p w14:paraId="1A8F0798">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6860DE30">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20000</w:t>
            </w:r>
          </w:p>
        </w:tc>
        <w:tc>
          <w:tcPr>
            <w:tcW w:w="1832" w:type="dxa"/>
            <w:tcBorders>
              <w:top w:val="single" w:color="auto" w:sz="4" w:space="0"/>
              <w:left w:val="nil"/>
              <w:bottom w:val="single" w:color="auto" w:sz="4" w:space="0"/>
              <w:right w:val="single" w:color="000000" w:sz="4" w:space="0"/>
            </w:tcBorders>
            <w:vAlign w:val="center"/>
          </w:tcPr>
          <w:p w14:paraId="679A253F">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27411</w:t>
            </w:r>
          </w:p>
        </w:tc>
      </w:tr>
      <w:tr w14:paraId="203D7681">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68AA5BDD">
            <w:pPr>
              <w:widowControl/>
              <w:jc w:val="left"/>
              <w:rPr>
                <w:rFonts w:ascii="Times New Roman" w:hAnsi="Times New Roman" w:eastAsia="Times New Roman"/>
                <w:kern w:val="0"/>
                <w:szCs w:val="21"/>
              </w:rPr>
            </w:pPr>
            <w:r>
              <w:rPr>
                <w:rFonts w:hint="eastAsia" w:ascii="Times New Roman" w:hAnsi="Times New Roman"/>
                <w:kern w:val="0"/>
                <w:szCs w:val="21"/>
              </w:rPr>
              <w:t>其中：公车购置</w:t>
            </w:r>
          </w:p>
        </w:tc>
        <w:tc>
          <w:tcPr>
            <w:tcW w:w="2038" w:type="dxa"/>
            <w:tcBorders>
              <w:top w:val="single" w:color="auto" w:sz="4" w:space="0"/>
              <w:left w:val="nil"/>
              <w:bottom w:val="single" w:color="auto" w:sz="4" w:space="0"/>
              <w:right w:val="single" w:color="000000" w:sz="4" w:space="0"/>
            </w:tcBorders>
            <w:vAlign w:val="center"/>
          </w:tcPr>
          <w:p w14:paraId="1BF7F488">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3E258011">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F0C485B">
            <w:pPr>
              <w:widowControl/>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1C4AF247">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445D8B09">
            <w:pPr>
              <w:widowControl/>
              <w:jc w:val="left"/>
              <w:rPr>
                <w:rFonts w:ascii="Times New Roman" w:hAnsi="Times New Roman" w:eastAsia="Times New Roman"/>
                <w:kern w:val="0"/>
                <w:szCs w:val="21"/>
              </w:rPr>
            </w:pPr>
            <w:r>
              <w:rPr>
                <w:rFonts w:hint="eastAsia" w:ascii="Times New Roman" w:hAnsi="Times New Roman"/>
                <w:kern w:val="0"/>
                <w:szCs w:val="21"/>
              </w:rPr>
              <w:t>公车运行维护</w:t>
            </w:r>
          </w:p>
        </w:tc>
        <w:tc>
          <w:tcPr>
            <w:tcW w:w="2038" w:type="dxa"/>
            <w:tcBorders>
              <w:top w:val="single" w:color="auto" w:sz="4" w:space="0"/>
              <w:left w:val="nil"/>
              <w:bottom w:val="single" w:color="auto" w:sz="4" w:space="0"/>
              <w:right w:val="single" w:color="000000" w:sz="4" w:space="0"/>
            </w:tcBorders>
            <w:vAlign w:val="center"/>
          </w:tcPr>
          <w:p w14:paraId="06EEC7C7">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134109B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20000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2FC4DC54">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27411</w:t>
            </w:r>
          </w:p>
        </w:tc>
      </w:tr>
      <w:tr w14:paraId="3300C49E">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6F28B6C3">
            <w:pPr>
              <w:widowControl/>
              <w:jc w:val="left"/>
              <w:rPr>
                <w:rFonts w:ascii="Times New Roman" w:hAnsi="Times New Roman" w:eastAsia="Times New Roman"/>
                <w:kern w:val="0"/>
                <w:szCs w:val="21"/>
              </w:rPr>
            </w:pPr>
            <w:r>
              <w:rPr>
                <w:rFonts w:ascii="Times New Roman" w:hAnsi="Times New Roman"/>
                <w:kern w:val="0"/>
                <w:szCs w:val="21"/>
              </w:rPr>
              <w:t xml:space="preserve">   2</w:t>
            </w:r>
            <w:r>
              <w:rPr>
                <w:rFonts w:hint="eastAsia" w:ascii="Times New Roman" w:hAnsi="Times New Roman"/>
                <w:kern w:val="0"/>
                <w:szCs w:val="21"/>
              </w:rPr>
              <w:t>、出国经费</w:t>
            </w:r>
          </w:p>
        </w:tc>
        <w:tc>
          <w:tcPr>
            <w:tcW w:w="2038" w:type="dxa"/>
            <w:tcBorders>
              <w:top w:val="single" w:color="auto" w:sz="4" w:space="0"/>
              <w:left w:val="nil"/>
              <w:bottom w:val="single" w:color="auto" w:sz="4" w:space="0"/>
              <w:right w:val="single" w:color="000000" w:sz="4" w:space="0"/>
            </w:tcBorders>
            <w:vAlign w:val="center"/>
          </w:tcPr>
          <w:p w14:paraId="256111AB">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0</w:t>
            </w:r>
          </w:p>
        </w:tc>
        <w:tc>
          <w:tcPr>
            <w:tcW w:w="2240" w:type="dxa"/>
            <w:tcBorders>
              <w:top w:val="single" w:color="auto" w:sz="4" w:space="0"/>
              <w:left w:val="nil"/>
              <w:bottom w:val="single" w:color="auto" w:sz="4" w:space="0"/>
              <w:right w:val="single" w:color="000000" w:sz="4" w:space="0"/>
            </w:tcBorders>
            <w:vAlign w:val="center"/>
          </w:tcPr>
          <w:p w14:paraId="17645B14">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71413517">
            <w:pPr>
              <w:widowControl/>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0</w:t>
            </w:r>
          </w:p>
        </w:tc>
      </w:tr>
      <w:tr w14:paraId="43C5B030">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4E156A82">
            <w:pPr>
              <w:widowControl/>
              <w:jc w:val="left"/>
              <w:rPr>
                <w:rFonts w:ascii="Times New Roman" w:hAnsi="Times New Roman" w:eastAsia="Times New Roman"/>
                <w:kern w:val="0"/>
                <w:szCs w:val="21"/>
              </w:rPr>
            </w:pPr>
            <w:r>
              <w:rPr>
                <w:rFonts w:ascii="Times New Roman" w:hAnsi="Times New Roman"/>
                <w:kern w:val="0"/>
                <w:szCs w:val="21"/>
              </w:rPr>
              <w:t xml:space="preserve">   3</w:t>
            </w:r>
            <w:r>
              <w:rPr>
                <w:rFonts w:hint="eastAsia" w:ascii="Times New Roman" w:hAnsi="Times New Roman"/>
                <w:kern w:val="0"/>
                <w:szCs w:val="21"/>
              </w:rPr>
              <w:t>、公务接待</w:t>
            </w:r>
          </w:p>
        </w:tc>
        <w:tc>
          <w:tcPr>
            <w:tcW w:w="2038" w:type="dxa"/>
            <w:tcBorders>
              <w:top w:val="single" w:color="auto" w:sz="4" w:space="0"/>
              <w:left w:val="nil"/>
              <w:bottom w:val="single" w:color="auto" w:sz="4" w:space="0"/>
              <w:right w:val="single" w:color="000000" w:sz="4" w:space="0"/>
            </w:tcBorders>
            <w:vAlign w:val="center"/>
          </w:tcPr>
          <w:p w14:paraId="27DCEBF4">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1576.6</w:t>
            </w:r>
          </w:p>
        </w:tc>
        <w:tc>
          <w:tcPr>
            <w:tcW w:w="2240" w:type="dxa"/>
            <w:tcBorders>
              <w:top w:val="single" w:color="auto" w:sz="4" w:space="0"/>
              <w:left w:val="nil"/>
              <w:bottom w:val="single" w:color="auto" w:sz="4" w:space="0"/>
              <w:right w:val="single" w:color="000000" w:sz="4" w:space="0"/>
            </w:tcBorders>
            <w:vAlign w:val="center"/>
          </w:tcPr>
          <w:p w14:paraId="27923CE5">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777937BE">
            <w:pPr>
              <w:widowControl/>
              <w:jc w:val="center"/>
              <w:rPr>
                <w:rFonts w:hint="default" w:ascii="Times New Roman" w:hAnsi="Times New Roman" w:eastAsia="Times New Roman"/>
                <w:kern w:val="0"/>
                <w:szCs w:val="21"/>
                <w:lang w:val="en-US"/>
              </w:rPr>
            </w:pPr>
            <w:r>
              <w:rPr>
                <w:rFonts w:hint="eastAsia" w:ascii="Times New Roman" w:hAnsi="Times New Roman"/>
                <w:kern w:val="0"/>
                <w:szCs w:val="21"/>
                <w:lang w:val="en-US" w:eastAsia="zh-CN"/>
              </w:rPr>
              <w:t>1549</w:t>
            </w:r>
          </w:p>
        </w:tc>
      </w:tr>
      <w:tr w14:paraId="79F13905">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64E44821">
            <w:pPr>
              <w:widowControl/>
              <w:jc w:val="left"/>
              <w:rPr>
                <w:rFonts w:ascii="Times New Roman" w:hAnsi="Times New Roman" w:eastAsia="Times New Roman"/>
                <w:kern w:val="0"/>
                <w:szCs w:val="21"/>
              </w:rPr>
            </w:pPr>
            <w:r>
              <w:rPr>
                <w:rFonts w:hint="eastAsia" w:ascii="Times New Roman" w:hAnsi="Times New Roman"/>
                <w:kern w:val="0"/>
                <w:szCs w:val="21"/>
              </w:rPr>
              <w:t>二、部门项目支出</w:t>
            </w:r>
          </w:p>
        </w:tc>
        <w:tc>
          <w:tcPr>
            <w:tcW w:w="2038" w:type="dxa"/>
            <w:tcBorders>
              <w:top w:val="single" w:color="auto" w:sz="4" w:space="0"/>
              <w:left w:val="nil"/>
              <w:bottom w:val="single" w:color="auto" w:sz="4" w:space="0"/>
              <w:right w:val="single" w:color="000000" w:sz="4" w:space="0"/>
            </w:tcBorders>
            <w:vAlign w:val="center"/>
          </w:tcPr>
          <w:p w14:paraId="68E1A5C8">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1088800</w:t>
            </w:r>
            <w:r>
              <w:rPr>
                <w:rFonts w:hint="eastAsia"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667FA95">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1088800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358A5D7D">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1011300</w:t>
            </w:r>
            <w:r>
              <w:rPr>
                <w:rFonts w:hint="eastAsia" w:ascii="Times New Roman" w:hAnsi="Times New Roman"/>
                <w:kern w:val="0"/>
                <w:szCs w:val="21"/>
              </w:rPr>
              <w:t>　</w:t>
            </w:r>
          </w:p>
        </w:tc>
      </w:tr>
      <w:tr w14:paraId="2861BD54">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03108578">
            <w:pPr>
              <w:widowControl/>
              <w:jc w:val="left"/>
              <w:rPr>
                <w:rFonts w:hint="eastAsia" w:ascii="Times New Roman" w:hAnsi="Times New Roman" w:eastAsia="宋体"/>
                <w:kern w:val="0"/>
                <w:szCs w:val="21"/>
                <w:lang w:eastAsia="zh-CN"/>
              </w:rPr>
            </w:pPr>
            <w:r>
              <w:rPr>
                <w:rFonts w:ascii="Times New Roman" w:hAnsi="Times New Roman"/>
                <w:kern w:val="0"/>
                <w:szCs w:val="21"/>
              </w:rPr>
              <w:t>1</w:t>
            </w:r>
            <w:r>
              <w:rPr>
                <w:rFonts w:hint="eastAsia" w:ascii="Times New Roman" w:hAnsi="Times New Roman"/>
                <w:kern w:val="0"/>
                <w:szCs w:val="21"/>
              </w:rPr>
              <w:t>、</w:t>
            </w:r>
            <w:r>
              <w:rPr>
                <w:rFonts w:hint="eastAsia" w:ascii="Times New Roman" w:hAnsi="Times New Roman"/>
                <w:kern w:val="0"/>
                <w:szCs w:val="21"/>
                <w:lang w:eastAsia="zh-CN"/>
              </w:rPr>
              <w:t>业务工作专项</w:t>
            </w:r>
          </w:p>
        </w:tc>
        <w:tc>
          <w:tcPr>
            <w:tcW w:w="2038" w:type="dxa"/>
            <w:tcBorders>
              <w:top w:val="single" w:color="auto" w:sz="4" w:space="0"/>
              <w:left w:val="nil"/>
              <w:bottom w:val="single" w:color="auto" w:sz="4" w:space="0"/>
              <w:right w:val="single" w:color="000000" w:sz="4" w:space="0"/>
            </w:tcBorders>
            <w:vAlign w:val="center"/>
          </w:tcPr>
          <w:p w14:paraId="793F2A54">
            <w:pPr>
              <w:widowControl/>
              <w:jc w:val="center"/>
              <w:rPr>
                <w:rFonts w:hint="eastAsia" w:ascii="Times New Roman" w:hAnsi="Times New Roman"/>
                <w:kern w:val="0"/>
                <w:szCs w:val="21"/>
                <w:lang w:val="en-US" w:eastAsia="zh-CN"/>
              </w:rPr>
            </w:pPr>
            <w:r>
              <w:rPr>
                <w:rFonts w:hint="eastAsia" w:ascii="Times New Roman" w:hAnsi="Times New Roman"/>
                <w:kern w:val="0"/>
                <w:szCs w:val="21"/>
                <w:lang w:val="en-US" w:eastAsia="zh-CN"/>
              </w:rPr>
              <w:t>638800</w:t>
            </w:r>
            <w:r>
              <w:rPr>
                <w:rFonts w:hint="eastAsia"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026C4BB4">
            <w:pPr>
              <w:widowControl/>
              <w:jc w:val="center"/>
              <w:rPr>
                <w:rFonts w:hint="eastAsia"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638800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9180340">
            <w:pPr>
              <w:widowControl/>
              <w:jc w:val="center"/>
              <w:rPr>
                <w:rFonts w:hint="eastAsia"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561300</w:t>
            </w:r>
            <w:r>
              <w:rPr>
                <w:rFonts w:hint="eastAsia" w:ascii="Times New Roman" w:hAnsi="Times New Roman"/>
                <w:kern w:val="0"/>
                <w:szCs w:val="21"/>
              </w:rPr>
              <w:t>　</w:t>
            </w:r>
          </w:p>
        </w:tc>
      </w:tr>
      <w:tr w14:paraId="6C927583">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2CAE23A9">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 xml:space="preserve"> </w:t>
            </w:r>
            <w:r>
              <w:rPr>
                <w:rFonts w:hint="eastAsia" w:ascii="Times New Roman" w:hAnsi="Times New Roman"/>
                <w:kern w:val="0"/>
                <w:szCs w:val="21"/>
              </w:rPr>
              <w:t>公共租赁住房支出</w:t>
            </w:r>
          </w:p>
        </w:tc>
        <w:tc>
          <w:tcPr>
            <w:tcW w:w="2038" w:type="dxa"/>
            <w:tcBorders>
              <w:top w:val="single" w:color="auto" w:sz="4" w:space="0"/>
              <w:left w:val="nil"/>
              <w:bottom w:val="single" w:color="auto" w:sz="4" w:space="0"/>
              <w:right w:val="single" w:color="000000" w:sz="4" w:space="0"/>
            </w:tcBorders>
            <w:vAlign w:val="center"/>
          </w:tcPr>
          <w:p w14:paraId="1AC310FB">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540000</w:t>
            </w:r>
            <w:r>
              <w:rPr>
                <w:rFonts w:hint="eastAsia"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4D84ABA6">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540000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5EDC34EB">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462500</w:t>
            </w:r>
            <w:r>
              <w:rPr>
                <w:rFonts w:hint="eastAsia" w:ascii="Times New Roman" w:hAnsi="Times New Roman"/>
                <w:kern w:val="0"/>
                <w:szCs w:val="21"/>
              </w:rPr>
              <w:t>　</w:t>
            </w:r>
          </w:p>
        </w:tc>
      </w:tr>
      <w:tr w14:paraId="2AA7C94B">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257577C9">
            <w:pPr>
              <w:widowControl/>
              <w:jc w:val="lef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 xml:space="preserve">  </w:t>
            </w:r>
            <w:r>
              <w:rPr>
                <w:rFonts w:hint="eastAsia" w:ascii="Times New Roman" w:hAnsi="Times New Roman"/>
                <w:kern w:val="0"/>
                <w:szCs w:val="21"/>
              </w:rPr>
              <w:t>房地产管理经费</w:t>
            </w:r>
          </w:p>
        </w:tc>
        <w:tc>
          <w:tcPr>
            <w:tcW w:w="2038" w:type="dxa"/>
            <w:tcBorders>
              <w:top w:val="single" w:color="auto" w:sz="4" w:space="0"/>
              <w:left w:val="nil"/>
              <w:bottom w:val="single" w:color="auto" w:sz="4" w:space="0"/>
              <w:right w:val="single" w:color="000000" w:sz="4" w:space="0"/>
            </w:tcBorders>
            <w:vAlign w:val="center"/>
          </w:tcPr>
          <w:p w14:paraId="2DF02E7B">
            <w:pPr>
              <w:widowControl/>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98800</w:t>
            </w:r>
            <w:r>
              <w:rPr>
                <w:rFonts w:hint="eastAsia"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32E8B2B3">
            <w:pPr>
              <w:widowControl/>
              <w:jc w:val="center"/>
              <w:rPr>
                <w:rFonts w:hint="eastAsia"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98800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18D10800">
            <w:pPr>
              <w:widowControl/>
              <w:jc w:val="center"/>
              <w:rPr>
                <w:rFonts w:hint="eastAsia"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98800</w:t>
            </w:r>
            <w:r>
              <w:rPr>
                <w:rFonts w:hint="eastAsia" w:ascii="Times New Roman" w:hAnsi="Times New Roman"/>
                <w:kern w:val="0"/>
                <w:szCs w:val="21"/>
              </w:rPr>
              <w:t>　</w:t>
            </w:r>
          </w:p>
        </w:tc>
      </w:tr>
      <w:tr w14:paraId="050880EA">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77966F6E">
            <w:pPr>
              <w:widowControl/>
              <w:jc w:val="left"/>
              <w:rPr>
                <w:rFonts w:hint="eastAsia" w:ascii="Times New Roman" w:hAnsi="Times New Roman" w:eastAsia="宋体"/>
                <w:kern w:val="0"/>
                <w:szCs w:val="21"/>
                <w:lang w:eastAsia="zh-CN"/>
              </w:rPr>
            </w:pPr>
            <w:r>
              <w:rPr>
                <w:rFonts w:ascii="Times New Roman" w:hAnsi="Times New Roman"/>
                <w:kern w:val="0"/>
                <w:szCs w:val="21"/>
              </w:rPr>
              <w:t>2</w:t>
            </w:r>
            <w:r>
              <w:rPr>
                <w:rFonts w:hint="eastAsia" w:ascii="Times New Roman" w:hAnsi="Times New Roman"/>
                <w:kern w:val="0"/>
                <w:szCs w:val="21"/>
              </w:rPr>
              <w:t>、</w:t>
            </w:r>
            <w:r>
              <w:rPr>
                <w:rFonts w:hint="eastAsia" w:ascii="Times New Roman" w:hAnsi="Times New Roman"/>
                <w:kern w:val="0"/>
                <w:szCs w:val="21"/>
                <w:lang w:eastAsia="zh-CN"/>
              </w:rPr>
              <w:t>运行维护专项</w:t>
            </w:r>
          </w:p>
        </w:tc>
        <w:tc>
          <w:tcPr>
            <w:tcW w:w="2038" w:type="dxa"/>
            <w:tcBorders>
              <w:top w:val="single" w:color="auto" w:sz="4" w:space="0"/>
              <w:left w:val="nil"/>
              <w:bottom w:val="single" w:color="auto" w:sz="4" w:space="0"/>
              <w:right w:val="single" w:color="000000" w:sz="4" w:space="0"/>
            </w:tcBorders>
            <w:vAlign w:val="center"/>
          </w:tcPr>
          <w:p w14:paraId="617FC20B">
            <w:pPr>
              <w:widowControl/>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450000</w:t>
            </w:r>
          </w:p>
        </w:tc>
        <w:tc>
          <w:tcPr>
            <w:tcW w:w="2240" w:type="dxa"/>
            <w:tcBorders>
              <w:top w:val="single" w:color="auto" w:sz="4" w:space="0"/>
              <w:left w:val="nil"/>
              <w:bottom w:val="single" w:color="auto" w:sz="4" w:space="0"/>
              <w:right w:val="single" w:color="000000" w:sz="4" w:space="0"/>
            </w:tcBorders>
            <w:vAlign w:val="center"/>
          </w:tcPr>
          <w:p w14:paraId="2CE1CD2A">
            <w:pPr>
              <w:widowControl/>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450000</w:t>
            </w:r>
          </w:p>
        </w:tc>
        <w:tc>
          <w:tcPr>
            <w:tcW w:w="1832" w:type="dxa"/>
            <w:tcBorders>
              <w:top w:val="single" w:color="auto" w:sz="4" w:space="0"/>
              <w:left w:val="nil"/>
              <w:bottom w:val="single" w:color="auto" w:sz="4" w:space="0"/>
              <w:right w:val="single" w:color="000000" w:sz="4" w:space="0"/>
            </w:tcBorders>
            <w:vAlign w:val="center"/>
          </w:tcPr>
          <w:p w14:paraId="6F4F2B94">
            <w:pPr>
              <w:widowControl/>
              <w:jc w:val="center"/>
              <w:rPr>
                <w:rFonts w:hint="default" w:ascii="Times New Roman" w:hAnsi="Times New Roman"/>
                <w:kern w:val="0"/>
                <w:szCs w:val="21"/>
                <w:lang w:val="en-US" w:eastAsia="zh-CN"/>
              </w:rPr>
            </w:pPr>
            <w:r>
              <w:rPr>
                <w:rFonts w:hint="eastAsia" w:ascii="Times New Roman" w:hAnsi="Times New Roman"/>
                <w:kern w:val="0"/>
                <w:szCs w:val="21"/>
                <w:lang w:val="en-US" w:eastAsia="zh-CN"/>
              </w:rPr>
              <w:t>450000</w:t>
            </w:r>
          </w:p>
        </w:tc>
      </w:tr>
      <w:tr w14:paraId="3EA84778">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32ECB356">
            <w:pPr>
              <w:widowControl/>
              <w:jc w:val="left"/>
              <w:rPr>
                <w:rFonts w:ascii="Times New Roman" w:hAnsi="Times New Roman" w:eastAsia="Times New Roman"/>
                <w:kern w:val="0"/>
                <w:szCs w:val="21"/>
              </w:rPr>
            </w:pPr>
            <w:r>
              <w:rPr>
                <w:rFonts w:ascii="Times New Roman" w:hAnsi="Times New Roman"/>
                <w:kern w:val="0"/>
                <w:szCs w:val="21"/>
              </w:rPr>
              <w:t xml:space="preserve"> </w:t>
            </w:r>
            <w:r>
              <w:rPr>
                <w:rFonts w:hint="eastAsia" w:ascii="Times New Roman" w:hAnsi="Times New Roman"/>
                <w:kern w:val="0"/>
                <w:szCs w:val="21"/>
                <w:lang w:val="en-US" w:eastAsia="zh-CN"/>
              </w:rPr>
              <w:t xml:space="preserve"> </w:t>
            </w:r>
            <w:r>
              <w:rPr>
                <w:rFonts w:hint="eastAsia" w:ascii="Times New Roman" w:hAnsi="Times New Roman"/>
                <w:kern w:val="0"/>
                <w:szCs w:val="21"/>
              </w:rPr>
              <w:t>公共租赁住房支出　</w:t>
            </w:r>
          </w:p>
        </w:tc>
        <w:tc>
          <w:tcPr>
            <w:tcW w:w="2038" w:type="dxa"/>
            <w:tcBorders>
              <w:top w:val="single" w:color="auto" w:sz="4" w:space="0"/>
              <w:left w:val="nil"/>
              <w:bottom w:val="single" w:color="auto" w:sz="4" w:space="0"/>
              <w:right w:val="single" w:color="000000" w:sz="4" w:space="0"/>
            </w:tcBorders>
            <w:vAlign w:val="center"/>
          </w:tcPr>
          <w:p w14:paraId="2DC916CF">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kern w:val="0"/>
                <w:szCs w:val="21"/>
                <w:lang w:val="en-US" w:eastAsia="zh-CN"/>
              </w:rPr>
              <w:t>450000</w:t>
            </w:r>
          </w:p>
        </w:tc>
        <w:tc>
          <w:tcPr>
            <w:tcW w:w="2240" w:type="dxa"/>
            <w:tcBorders>
              <w:top w:val="single" w:color="auto" w:sz="4" w:space="0"/>
              <w:left w:val="nil"/>
              <w:bottom w:val="single" w:color="auto" w:sz="4" w:space="0"/>
              <w:right w:val="single" w:color="000000" w:sz="4" w:space="0"/>
            </w:tcBorders>
            <w:vAlign w:val="center"/>
          </w:tcPr>
          <w:p w14:paraId="40749AD8">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450000</w:t>
            </w:r>
          </w:p>
        </w:tc>
        <w:tc>
          <w:tcPr>
            <w:tcW w:w="1832" w:type="dxa"/>
            <w:tcBorders>
              <w:top w:val="single" w:color="auto" w:sz="4" w:space="0"/>
              <w:left w:val="nil"/>
              <w:bottom w:val="single" w:color="auto" w:sz="4" w:space="0"/>
              <w:right w:val="single" w:color="000000" w:sz="4" w:space="0"/>
            </w:tcBorders>
            <w:vAlign w:val="center"/>
          </w:tcPr>
          <w:p w14:paraId="3389EAB2">
            <w:pPr>
              <w:widowControl/>
              <w:jc w:val="center"/>
              <w:rPr>
                <w:rFonts w:hint="default"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450000</w:t>
            </w:r>
          </w:p>
        </w:tc>
      </w:tr>
      <w:tr w14:paraId="29961D29">
        <w:tblPrEx>
          <w:tblCellMar>
            <w:top w:w="0" w:type="dxa"/>
            <w:left w:w="108" w:type="dxa"/>
            <w:bottom w:w="0" w:type="dxa"/>
            <w:right w:w="108" w:type="dxa"/>
          </w:tblCellMar>
        </w:tblPrEx>
        <w:trPr>
          <w:trHeight w:val="454" w:hRule="atLeast"/>
          <w:jc w:val="center"/>
        </w:trPr>
        <w:tc>
          <w:tcPr>
            <w:tcW w:w="3354" w:type="dxa"/>
            <w:tcBorders>
              <w:top w:val="nil"/>
              <w:left w:val="single" w:color="auto" w:sz="4" w:space="0"/>
              <w:bottom w:val="single" w:color="auto" w:sz="4" w:space="0"/>
              <w:right w:val="single" w:color="auto" w:sz="4" w:space="0"/>
            </w:tcBorders>
            <w:vAlign w:val="center"/>
          </w:tcPr>
          <w:p w14:paraId="5B3C4702">
            <w:pPr>
              <w:widowControl/>
              <w:jc w:val="left"/>
              <w:rPr>
                <w:rFonts w:ascii="Times New Roman" w:hAnsi="Times New Roman" w:eastAsia="Times New Roman"/>
                <w:kern w:val="0"/>
                <w:szCs w:val="21"/>
              </w:rPr>
            </w:pPr>
            <w:r>
              <w:rPr>
                <w:rFonts w:hint="eastAsia" w:ascii="Times New Roman" w:hAnsi="Times New Roman"/>
                <w:kern w:val="0"/>
                <w:szCs w:val="21"/>
              </w:rPr>
              <w:t>政府采购金额</w:t>
            </w:r>
          </w:p>
        </w:tc>
        <w:tc>
          <w:tcPr>
            <w:tcW w:w="2038" w:type="dxa"/>
            <w:tcBorders>
              <w:top w:val="single" w:color="auto" w:sz="4" w:space="0"/>
              <w:left w:val="nil"/>
              <w:bottom w:val="single" w:color="auto" w:sz="4" w:space="0"/>
              <w:right w:val="single" w:color="000000" w:sz="4" w:space="0"/>
            </w:tcBorders>
            <w:vAlign w:val="center"/>
          </w:tcPr>
          <w:p w14:paraId="73B8F487">
            <w:pPr>
              <w:widowControl/>
              <w:jc w:val="center"/>
              <w:rPr>
                <w:rFonts w:ascii="Times New Roman" w:hAnsi="Times New Roman" w:eastAsia="Times New Roman" w:cs="Times New Roman"/>
                <w:kern w:val="0"/>
                <w:sz w:val="21"/>
                <w:szCs w:val="21"/>
                <w:lang w:val="en-US" w:eastAsia="zh-CN" w:bidi="ar-SA"/>
              </w:rPr>
            </w:pPr>
            <w:r>
              <w:rPr>
                <w:rFonts w:hint="eastAsia" w:ascii="Times New Roman" w:hAnsi="Times New Roman"/>
                <w:kern w:val="0"/>
                <w:szCs w:val="21"/>
                <w:lang w:val="en-US" w:eastAsia="zh-CN"/>
              </w:rPr>
              <w:t>993240</w:t>
            </w:r>
            <w:r>
              <w:rPr>
                <w:rFonts w:hint="eastAsia" w:ascii="Times New Roman" w:hAnsi="Times New Roman"/>
                <w:kern w:val="0"/>
                <w:szCs w:val="21"/>
              </w:rPr>
              <w:t>　</w:t>
            </w:r>
          </w:p>
        </w:tc>
        <w:tc>
          <w:tcPr>
            <w:tcW w:w="2240" w:type="dxa"/>
            <w:tcBorders>
              <w:top w:val="single" w:color="auto" w:sz="4" w:space="0"/>
              <w:left w:val="nil"/>
              <w:bottom w:val="single" w:color="auto" w:sz="4" w:space="0"/>
              <w:right w:val="single" w:color="000000" w:sz="4" w:space="0"/>
            </w:tcBorders>
            <w:vAlign w:val="center"/>
          </w:tcPr>
          <w:p w14:paraId="23ABE5DE">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840000</w:t>
            </w:r>
            <w:r>
              <w:rPr>
                <w:rFonts w:hint="eastAsia" w:ascii="Times New Roman" w:hAnsi="Times New Roman"/>
                <w:kern w:val="0"/>
                <w:szCs w:val="21"/>
              </w:rPr>
              <w:t>　</w:t>
            </w:r>
          </w:p>
        </w:tc>
        <w:tc>
          <w:tcPr>
            <w:tcW w:w="1832" w:type="dxa"/>
            <w:tcBorders>
              <w:top w:val="single" w:color="auto" w:sz="4" w:space="0"/>
              <w:left w:val="nil"/>
              <w:bottom w:val="single" w:color="auto" w:sz="4" w:space="0"/>
              <w:right w:val="single" w:color="000000" w:sz="4" w:space="0"/>
            </w:tcBorders>
            <w:vAlign w:val="center"/>
          </w:tcPr>
          <w:p w14:paraId="463895D0">
            <w:pPr>
              <w:widowControl/>
              <w:jc w:val="center"/>
              <w:rPr>
                <w:rFonts w:ascii="Times New Roman" w:hAnsi="Times New Roman" w:eastAsia="Times New Roman"/>
                <w:kern w:val="0"/>
                <w:szCs w:val="21"/>
              </w:rPr>
            </w:pPr>
            <w:r>
              <w:rPr>
                <w:rFonts w:hint="eastAsia" w:ascii="Times New Roman" w:hAnsi="Times New Roman"/>
                <w:kern w:val="0"/>
                <w:szCs w:val="21"/>
                <w:lang w:val="en-US" w:eastAsia="zh-CN"/>
              </w:rPr>
              <w:t>840000</w:t>
            </w:r>
            <w:r>
              <w:rPr>
                <w:rFonts w:hint="eastAsia" w:ascii="Times New Roman" w:hAnsi="Times New Roman"/>
                <w:kern w:val="0"/>
                <w:szCs w:val="21"/>
              </w:rPr>
              <w:t>　</w:t>
            </w:r>
          </w:p>
        </w:tc>
      </w:tr>
      <w:tr w14:paraId="52EE49D4">
        <w:tblPrEx>
          <w:tblCellMar>
            <w:top w:w="0" w:type="dxa"/>
            <w:left w:w="108" w:type="dxa"/>
            <w:bottom w:w="0" w:type="dxa"/>
            <w:right w:w="108" w:type="dxa"/>
          </w:tblCellMar>
        </w:tblPrEx>
        <w:trPr>
          <w:trHeight w:val="1044" w:hRule="atLeast"/>
          <w:jc w:val="center"/>
        </w:trPr>
        <w:tc>
          <w:tcPr>
            <w:tcW w:w="3354" w:type="dxa"/>
            <w:tcBorders>
              <w:top w:val="nil"/>
              <w:left w:val="single" w:color="auto" w:sz="4" w:space="0"/>
              <w:bottom w:val="single" w:color="auto" w:sz="4" w:space="0"/>
              <w:right w:val="single" w:color="auto" w:sz="4" w:space="0"/>
            </w:tcBorders>
            <w:vAlign w:val="center"/>
          </w:tcPr>
          <w:p w14:paraId="76ACD15F">
            <w:pPr>
              <w:widowControl/>
              <w:jc w:val="center"/>
              <w:rPr>
                <w:rFonts w:ascii="Times New Roman" w:hAnsi="Times New Roman" w:eastAsia="Times New Roman"/>
                <w:kern w:val="0"/>
                <w:szCs w:val="21"/>
              </w:rPr>
            </w:pPr>
            <w:r>
              <w:rPr>
                <w:rFonts w:hint="eastAsia" w:ascii="Times New Roman" w:hAnsi="Times New Roman"/>
                <w:kern w:val="0"/>
                <w:szCs w:val="21"/>
              </w:rPr>
              <w:t>厉行节约保障措施</w:t>
            </w:r>
          </w:p>
        </w:tc>
        <w:tc>
          <w:tcPr>
            <w:tcW w:w="6110" w:type="dxa"/>
            <w:gridSpan w:val="3"/>
            <w:tcBorders>
              <w:top w:val="single" w:color="auto" w:sz="4" w:space="0"/>
              <w:left w:val="nil"/>
              <w:bottom w:val="single" w:color="auto" w:sz="4" w:space="0"/>
              <w:right w:val="single" w:color="000000" w:sz="4" w:space="0"/>
            </w:tcBorders>
            <w:vAlign w:val="center"/>
          </w:tcPr>
          <w:p w14:paraId="0B867633">
            <w:pPr>
              <w:widowControl/>
              <w:numPr>
                <w:ilvl w:val="0"/>
                <w:numId w:val="0"/>
              </w:numPr>
              <w:jc w:val="left"/>
              <w:rPr>
                <w:rFonts w:hint="eastAsia" w:eastAsia="仿宋_GB2312"/>
                <w:kern w:val="0"/>
                <w:sz w:val="24"/>
              </w:rPr>
            </w:pPr>
            <w:r>
              <w:rPr>
                <w:rFonts w:hint="eastAsia" w:eastAsia="仿宋_GB2312"/>
                <w:kern w:val="0"/>
                <w:sz w:val="24"/>
                <w:lang w:val="en-US" w:eastAsia="zh-CN"/>
              </w:rPr>
              <w:t>1、</w:t>
            </w:r>
            <w:r>
              <w:rPr>
                <w:rFonts w:hint="eastAsia" w:eastAsia="仿宋_GB2312"/>
                <w:kern w:val="0"/>
                <w:sz w:val="24"/>
              </w:rPr>
              <w:t>加强支出预算编制管理。</w:t>
            </w:r>
          </w:p>
          <w:p w14:paraId="32B48421">
            <w:pPr>
              <w:widowControl/>
              <w:jc w:val="both"/>
              <w:rPr>
                <w:rFonts w:ascii="Times New Roman" w:hAnsi="Times New Roman" w:eastAsia="Times New Roman"/>
                <w:kern w:val="0"/>
                <w:szCs w:val="21"/>
              </w:rPr>
            </w:pPr>
            <w:r>
              <w:rPr>
                <w:rFonts w:hint="eastAsia" w:eastAsia="仿宋_GB2312"/>
                <w:kern w:val="0"/>
                <w:sz w:val="24"/>
                <w:lang w:val="en-US" w:eastAsia="zh-CN"/>
              </w:rPr>
              <w:t>2、严控公务用车购置及运行经费。</w:t>
            </w:r>
            <w:r>
              <w:rPr>
                <w:rFonts w:hint="eastAsia" w:ascii="Times New Roman" w:hAnsi="Times New Roman"/>
                <w:kern w:val="0"/>
                <w:szCs w:val="21"/>
              </w:rPr>
              <w:t>　</w:t>
            </w:r>
          </w:p>
        </w:tc>
      </w:tr>
    </w:tbl>
    <w:p w14:paraId="26E9E5B6">
      <w:pPr>
        <w:widowControl/>
        <w:jc w:val="left"/>
        <w:rPr>
          <w:rFonts w:hint="eastAsia" w:ascii="Times New Roman" w:hAnsi="Times New Roman"/>
          <w:kern w:val="0"/>
          <w:sz w:val="22"/>
        </w:rPr>
      </w:pPr>
      <w:r>
        <w:rPr>
          <w:rFonts w:hint="eastAsia" w:ascii="Times New Roman" w:hAnsi="Times New Roman"/>
          <w:kern w:val="0"/>
          <w:sz w:val="22"/>
        </w:rPr>
        <w:t>说明：</w:t>
      </w:r>
      <w:r>
        <w:rPr>
          <w:rFonts w:ascii="Times New Roman" w:hAnsi="Times New Roman"/>
          <w:kern w:val="0"/>
          <w:sz w:val="22"/>
        </w:rPr>
        <w:t>“</w:t>
      </w:r>
      <w:r>
        <w:rPr>
          <w:rFonts w:hint="eastAsia" w:ascii="Times New Roman" w:hAnsi="Times New Roman"/>
          <w:kern w:val="0"/>
          <w:sz w:val="22"/>
        </w:rPr>
        <w:t>项目支出</w:t>
      </w:r>
      <w:r>
        <w:rPr>
          <w:rFonts w:ascii="Times New Roman" w:hAnsi="Times New Roman"/>
          <w:kern w:val="0"/>
          <w:sz w:val="22"/>
        </w:rPr>
        <w:t>”</w:t>
      </w:r>
      <w:r>
        <w:rPr>
          <w:rFonts w:hint="eastAsia" w:ascii="Times New Roman" w:hAnsi="Times New Roman"/>
          <w:kern w:val="0"/>
          <w:sz w:val="22"/>
        </w:rPr>
        <w:t>需要填报基本支出以外的所有项目支出情况，包括业务工作项目、运行维护项目和市级专项资金等；</w:t>
      </w:r>
      <w:r>
        <w:rPr>
          <w:rFonts w:ascii="Times New Roman" w:hAnsi="Times New Roman"/>
          <w:kern w:val="0"/>
          <w:sz w:val="22"/>
        </w:rPr>
        <w:t>“</w:t>
      </w:r>
      <w:r>
        <w:rPr>
          <w:rFonts w:hint="eastAsia" w:ascii="Times New Roman" w:hAnsi="Times New Roman"/>
          <w:kern w:val="0"/>
          <w:sz w:val="22"/>
        </w:rPr>
        <w:t>公用经费</w:t>
      </w:r>
      <w:r>
        <w:rPr>
          <w:rFonts w:ascii="Times New Roman" w:hAnsi="Times New Roman"/>
          <w:kern w:val="0"/>
          <w:sz w:val="22"/>
        </w:rPr>
        <w:t>”</w:t>
      </w:r>
      <w:r>
        <w:rPr>
          <w:rFonts w:hint="eastAsia" w:ascii="Times New Roman" w:hAnsi="Times New Roman"/>
          <w:kern w:val="0"/>
          <w:sz w:val="22"/>
        </w:rPr>
        <w:t>填报基本支出中的一般商品和服务支出。</w:t>
      </w:r>
    </w:p>
    <w:p w14:paraId="447BB23C">
      <w:pPr>
        <w:widowControl/>
        <w:jc w:val="left"/>
        <w:rPr>
          <w:rFonts w:hint="eastAsia" w:ascii="Times New Roman" w:hAnsi="Times New Roman"/>
          <w:kern w:val="0"/>
          <w:sz w:val="22"/>
        </w:rPr>
      </w:pPr>
    </w:p>
    <w:p w14:paraId="322DF776">
      <w:pPr>
        <w:rPr>
          <w:rFonts w:ascii="Times New Roman" w:hAnsi="Times New Roman" w:eastAsia="黑体"/>
          <w:sz w:val="32"/>
          <w:szCs w:val="32"/>
        </w:rPr>
      </w:pPr>
      <w:r>
        <w:rPr>
          <w:rFonts w:ascii="Times New Roman" w:hAnsi="Times New Roman" w:eastAsia="仿宋_GB2312"/>
          <w:sz w:val="24"/>
        </w:rPr>
        <w:t>填表人：       填报日期：        联系电话：       单位负责人签字：</w:t>
      </w:r>
    </w:p>
    <w:p w14:paraId="042099B7">
      <w:pPr>
        <w:widowControl/>
        <w:jc w:val="left"/>
        <w:rPr>
          <w:rFonts w:ascii="Times New Roman" w:hAnsi="Times New Roman" w:eastAsia="Times New Roman"/>
          <w:kern w:val="0"/>
          <w:sz w:val="22"/>
        </w:rPr>
      </w:pPr>
      <w:r>
        <w:rPr>
          <w:rFonts w:ascii="Times New Roman" w:hAnsi="Times New Roman" w:eastAsia="Times New Roman"/>
          <w:kern w:val="0"/>
          <w:sz w:val="22"/>
        </w:rPr>
        <w:br w:type="page"/>
      </w:r>
    </w:p>
    <w:p w14:paraId="1AFBB78B">
      <w:pPr>
        <w:rPr>
          <w:rFonts w:hint="eastAsia" w:ascii="Times New Roman" w:hAnsi="Times New Roman" w:eastAsia="黑体"/>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2</w:t>
      </w:r>
    </w:p>
    <w:tbl>
      <w:tblPr>
        <w:tblStyle w:val="3"/>
        <w:tblW w:w="10353" w:type="dxa"/>
        <w:jc w:val="center"/>
        <w:tblLayout w:type="fixed"/>
        <w:tblCellMar>
          <w:top w:w="0" w:type="dxa"/>
          <w:left w:w="108" w:type="dxa"/>
          <w:bottom w:w="0" w:type="dxa"/>
          <w:right w:w="108" w:type="dxa"/>
        </w:tblCellMar>
      </w:tblPr>
      <w:tblGrid>
        <w:gridCol w:w="1363"/>
        <w:gridCol w:w="1020"/>
        <w:gridCol w:w="1110"/>
        <w:gridCol w:w="1312"/>
        <w:gridCol w:w="1040"/>
        <w:gridCol w:w="138"/>
        <w:gridCol w:w="810"/>
        <w:gridCol w:w="210"/>
        <w:gridCol w:w="960"/>
        <w:gridCol w:w="765"/>
        <w:gridCol w:w="300"/>
        <w:gridCol w:w="1325"/>
      </w:tblGrid>
      <w:tr w14:paraId="3EB0D654">
        <w:tblPrEx>
          <w:tblCellMar>
            <w:top w:w="0" w:type="dxa"/>
            <w:left w:w="108" w:type="dxa"/>
            <w:bottom w:w="0" w:type="dxa"/>
            <w:right w:w="108" w:type="dxa"/>
          </w:tblCellMar>
        </w:tblPrEx>
        <w:trPr>
          <w:trHeight w:val="549" w:hRule="atLeast"/>
          <w:jc w:val="center"/>
        </w:trPr>
        <w:tc>
          <w:tcPr>
            <w:tcW w:w="10353" w:type="dxa"/>
            <w:gridSpan w:val="12"/>
            <w:tcBorders>
              <w:top w:val="nil"/>
              <w:left w:val="nil"/>
              <w:bottom w:val="nil"/>
              <w:right w:val="nil"/>
            </w:tcBorders>
            <w:shd w:val="clear" w:color="auto" w:fill="auto"/>
            <w:noWrap/>
            <w:vAlign w:val="center"/>
          </w:tcPr>
          <w:p w14:paraId="5A489531">
            <w:pPr>
              <w:ind w:firstLine="2880" w:firstLineChars="800"/>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部门整体支出绩效自评表</w:t>
            </w:r>
          </w:p>
        </w:tc>
      </w:tr>
      <w:tr w14:paraId="6D1E0B30">
        <w:tblPrEx>
          <w:tblCellMar>
            <w:top w:w="0" w:type="dxa"/>
            <w:left w:w="108" w:type="dxa"/>
            <w:bottom w:w="0" w:type="dxa"/>
            <w:right w:w="108" w:type="dxa"/>
          </w:tblCellMar>
        </w:tblPrEx>
        <w:trPr>
          <w:trHeight w:val="270" w:hRule="atLeast"/>
          <w:jc w:val="center"/>
        </w:trPr>
        <w:tc>
          <w:tcPr>
            <w:tcW w:w="10353" w:type="dxa"/>
            <w:gridSpan w:val="12"/>
            <w:tcBorders>
              <w:top w:val="nil"/>
              <w:left w:val="nil"/>
              <w:bottom w:val="single" w:color="auto" w:sz="4" w:space="0"/>
              <w:right w:val="nil"/>
            </w:tcBorders>
            <w:shd w:val="clear" w:color="auto" w:fill="auto"/>
            <w:noWrap/>
            <w:vAlign w:val="center"/>
          </w:tcPr>
          <w:p w14:paraId="277EE53F">
            <w:pPr>
              <w:widowControl/>
              <w:rPr>
                <w:rFonts w:hint="default" w:ascii="Times New Roman" w:hAnsi="Times New Roman" w:eastAsia="宋体"/>
                <w:color w:val="000000"/>
                <w:kern w:val="0"/>
                <w:sz w:val="22"/>
                <w:lang w:val="en-US" w:eastAsia="zh-CN"/>
              </w:rPr>
            </w:pPr>
            <w:r>
              <w:rPr>
                <w:rFonts w:ascii="Times New Roman" w:hAnsi="Times New Roman"/>
                <w:color w:val="000000"/>
                <w:kern w:val="0"/>
                <w:sz w:val="22"/>
              </w:rPr>
              <w:t>填报单位： （盖章）</w:t>
            </w:r>
            <w:r>
              <w:rPr>
                <w:rFonts w:hint="eastAsia" w:ascii="Times New Roman" w:hAnsi="Times New Roman"/>
                <w:color w:val="000000"/>
                <w:kern w:val="0"/>
                <w:sz w:val="22"/>
                <w:lang w:val="en-US" w:eastAsia="zh-CN"/>
              </w:rPr>
              <w:t xml:space="preserve">                 （2022年度）</w:t>
            </w:r>
          </w:p>
        </w:tc>
      </w:tr>
      <w:tr w14:paraId="79033623">
        <w:tblPrEx>
          <w:tblCellMar>
            <w:top w:w="0" w:type="dxa"/>
            <w:left w:w="108" w:type="dxa"/>
            <w:bottom w:w="0" w:type="dxa"/>
            <w:right w:w="108" w:type="dxa"/>
          </w:tblCellMar>
        </w:tblPrEx>
        <w:trPr>
          <w:trHeight w:val="480"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7387BFA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部门名称</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392B410">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衡阳市住房保障服务中心</w:t>
            </w:r>
            <w:r>
              <w:rPr>
                <w:rFonts w:ascii="Times New Roman" w:hAnsi="Times New Roman" w:eastAsia="仿宋_GB2312"/>
                <w:color w:val="000000"/>
                <w:kern w:val="0"/>
                <w:szCs w:val="21"/>
              </w:rPr>
              <w:t>　</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696DABC4">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执行数</w:t>
            </w:r>
          </w:p>
        </w:tc>
        <w:tc>
          <w:tcPr>
            <w:tcW w:w="960" w:type="dxa"/>
            <w:tcBorders>
              <w:top w:val="single" w:color="auto" w:sz="4" w:space="0"/>
              <w:left w:val="nil"/>
              <w:bottom w:val="single" w:color="auto" w:sz="4" w:space="0"/>
              <w:right w:val="single" w:color="000000" w:sz="4" w:space="0"/>
            </w:tcBorders>
            <w:shd w:val="clear" w:color="auto" w:fill="auto"/>
            <w:noWrap/>
            <w:vAlign w:val="top"/>
          </w:tcPr>
          <w:p w14:paraId="3D2C6C68">
            <w:pPr>
              <w:keepNext w:val="0"/>
              <w:keepLines w:val="0"/>
              <w:pageBreakBefore w:val="0"/>
              <w:widowControl/>
              <w:kinsoku/>
              <w:wordWrap/>
              <w:overflowPunct/>
              <w:topLinePunct w:val="0"/>
              <w:autoSpaceDE/>
              <w:autoSpaceDN/>
              <w:bidi w:val="0"/>
              <w:adjustRightInd/>
              <w:snapToGrid/>
              <w:spacing w:line="240" w:lineRule="exact"/>
              <w:ind w:left="0" w:leftChars="0"/>
              <w:jc w:val="center"/>
              <w:textAlignment w:val="auto"/>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资金执行率</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1E9A0C0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分值</w:t>
            </w:r>
          </w:p>
        </w:tc>
        <w:tc>
          <w:tcPr>
            <w:tcW w:w="1325" w:type="dxa"/>
            <w:tcBorders>
              <w:top w:val="single" w:color="auto" w:sz="4" w:space="0"/>
              <w:left w:val="nil"/>
              <w:bottom w:val="single" w:color="auto" w:sz="4" w:space="0"/>
              <w:right w:val="single" w:color="000000" w:sz="4" w:space="0"/>
            </w:tcBorders>
            <w:shd w:val="clear" w:color="auto" w:fill="auto"/>
            <w:noWrap/>
            <w:vAlign w:val="center"/>
          </w:tcPr>
          <w:p w14:paraId="65507390">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得分</w:t>
            </w:r>
          </w:p>
        </w:tc>
      </w:tr>
      <w:tr w14:paraId="24DC2692">
        <w:tblPrEx>
          <w:tblCellMar>
            <w:top w:w="0" w:type="dxa"/>
            <w:left w:w="108" w:type="dxa"/>
            <w:bottom w:w="0" w:type="dxa"/>
            <w:right w:w="108" w:type="dxa"/>
          </w:tblCellMar>
        </w:tblPrEx>
        <w:trPr>
          <w:trHeight w:val="395" w:hRule="atLeast"/>
          <w:jc w:val="center"/>
        </w:trPr>
        <w:tc>
          <w:tcPr>
            <w:tcW w:w="1363" w:type="dxa"/>
            <w:vMerge w:val="restart"/>
            <w:tcBorders>
              <w:top w:val="nil"/>
              <w:left w:val="single" w:color="auto" w:sz="4" w:space="0"/>
              <w:right w:val="single" w:color="auto" w:sz="4" w:space="0"/>
            </w:tcBorders>
            <w:shd w:val="clear" w:color="auto" w:fill="auto"/>
            <w:noWrap/>
            <w:vAlign w:val="center"/>
          </w:tcPr>
          <w:p w14:paraId="0590B612">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年度预算</w:t>
            </w:r>
          </w:p>
          <w:p w14:paraId="562BA6CE">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申请（万元）</w:t>
            </w: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FD2E8D8">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资金总额：</w:t>
            </w:r>
            <w:r>
              <w:rPr>
                <w:rFonts w:hint="eastAsia" w:ascii="Times New Roman" w:hAnsi="Times New Roman" w:eastAsia="仿宋_GB2312"/>
                <w:color w:val="000000"/>
                <w:kern w:val="0"/>
                <w:szCs w:val="21"/>
                <w:lang w:val="en-US" w:eastAsia="zh-CN"/>
              </w:rPr>
              <w:t>1450.36</w:t>
            </w:r>
          </w:p>
        </w:tc>
        <w:tc>
          <w:tcPr>
            <w:tcW w:w="1020" w:type="dxa"/>
            <w:gridSpan w:val="2"/>
            <w:tcBorders>
              <w:top w:val="single" w:color="auto" w:sz="4" w:space="0"/>
              <w:left w:val="nil"/>
              <w:bottom w:val="single" w:color="auto" w:sz="4" w:space="0"/>
              <w:right w:val="single" w:color="000000" w:sz="4" w:space="0"/>
            </w:tcBorders>
            <w:shd w:val="clear" w:color="auto" w:fill="auto"/>
            <w:noWrap/>
            <w:vAlign w:val="center"/>
          </w:tcPr>
          <w:p w14:paraId="24F969C5">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6952.34</w:t>
            </w:r>
          </w:p>
        </w:tc>
        <w:tc>
          <w:tcPr>
            <w:tcW w:w="960" w:type="dxa"/>
            <w:tcBorders>
              <w:top w:val="single" w:color="auto" w:sz="4" w:space="0"/>
              <w:left w:val="nil"/>
              <w:bottom w:val="single" w:color="auto" w:sz="4" w:space="0"/>
              <w:right w:val="single" w:color="000000" w:sz="4" w:space="0"/>
            </w:tcBorders>
            <w:shd w:val="clear" w:color="auto" w:fill="auto"/>
            <w:noWrap/>
            <w:vAlign w:val="center"/>
          </w:tcPr>
          <w:p w14:paraId="78F04748">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479.3%</w:t>
            </w:r>
          </w:p>
        </w:tc>
        <w:tc>
          <w:tcPr>
            <w:tcW w:w="1065" w:type="dxa"/>
            <w:gridSpan w:val="2"/>
            <w:tcBorders>
              <w:top w:val="single" w:color="auto" w:sz="4" w:space="0"/>
              <w:left w:val="nil"/>
              <w:bottom w:val="single" w:color="auto" w:sz="4" w:space="0"/>
              <w:right w:val="single" w:color="000000" w:sz="4" w:space="0"/>
            </w:tcBorders>
            <w:shd w:val="clear" w:color="auto" w:fill="auto"/>
            <w:noWrap/>
            <w:vAlign w:val="center"/>
          </w:tcPr>
          <w:p w14:paraId="6F47BD5F">
            <w:pPr>
              <w:widowControl/>
              <w:ind w:firstLine="420" w:firstLineChars="2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w:t>
            </w:r>
          </w:p>
        </w:tc>
        <w:tc>
          <w:tcPr>
            <w:tcW w:w="1325" w:type="dxa"/>
            <w:tcBorders>
              <w:top w:val="single" w:color="auto" w:sz="4" w:space="0"/>
              <w:left w:val="nil"/>
              <w:bottom w:val="single" w:color="auto" w:sz="4" w:space="0"/>
              <w:right w:val="single" w:color="000000" w:sz="4" w:space="0"/>
            </w:tcBorders>
            <w:shd w:val="clear" w:color="auto" w:fill="auto"/>
            <w:noWrap/>
            <w:vAlign w:val="center"/>
          </w:tcPr>
          <w:p w14:paraId="7ABC30B5">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r>
      <w:tr w14:paraId="149B6BE4">
        <w:tblPrEx>
          <w:tblCellMar>
            <w:top w:w="0" w:type="dxa"/>
            <w:left w:w="108" w:type="dxa"/>
            <w:bottom w:w="0" w:type="dxa"/>
            <w:right w:w="108" w:type="dxa"/>
          </w:tblCellMar>
        </w:tblPrEx>
        <w:trPr>
          <w:trHeight w:val="370" w:hRule="atLeast"/>
          <w:jc w:val="center"/>
        </w:trPr>
        <w:tc>
          <w:tcPr>
            <w:tcW w:w="1363" w:type="dxa"/>
            <w:vMerge w:val="continue"/>
            <w:tcBorders>
              <w:left w:val="single" w:color="auto" w:sz="4" w:space="0"/>
              <w:right w:val="single" w:color="auto" w:sz="4" w:space="0"/>
            </w:tcBorders>
            <w:shd w:val="clear" w:color="auto" w:fill="auto"/>
            <w:noWrap/>
            <w:vAlign w:val="center"/>
          </w:tcPr>
          <w:p w14:paraId="74DDC30B">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4E0EBCA2">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按收入性质分：</w:t>
            </w:r>
            <w:r>
              <w:rPr>
                <w:rFonts w:hint="eastAsia" w:ascii="Times New Roman" w:hAnsi="Times New Roman" w:eastAsia="仿宋_GB2312"/>
                <w:color w:val="000000"/>
                <w:kern w:val="0"/>
                <w:szCs w:val="21"/>
                <w:lang w:val="en-US" w:eastAsia="zh-CN"/>
              </w:rPr>
              <w:t xml:space="preserve">                         </w:t>
            </w:r>
          </w:p>
        </w:tc>
        <w:tc>
          <w:tcPr>
            <w:tcW w:w="4370" w:type="dxa"/>
            <w:gridSpan w:val="6"/>
            <w:tcBorders>
              <w:top w:val="single" w:color="auto" w:sz="4" w:space="0"/>
              <w:left w:val="nil"/>
              <w:bottom w:val="single" w:color="auto" w:sz="4" w:space="0"/>
              <w:right w:val="single" w:color="000000" w:sz="4" w:space="0"/>
            </w:tcBorders>
            <w:shd w:val="clear" w:color="auto" w:fill="auto"/>
            <w:noWrap/>
            <w:vAlign w:val="center"/>
          </w:tcPr>
          <w:p w14:paraId="4BD290E7">
            <w:pPr>
              <w:widowControl/>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按指出性质分：</w:t>
            </w:r>
          </w:p>
        </w:tc>
      </w:tr>
      <w:tr w14:paraId="69FAF1D1">
        <w:tblPrEx>
          <w:tblCellMar>
            <w:top w:w="0" w:type="dxa"/>
            <w:left w:w="108" w:type="dxa"/>
            <w:bottom w:w="0" w:type="dxa"/>
            <w:right w:w="108" w:type="dxa"/>
          </w:tblCellMar>
        </w:tblPrEx>
        <w:trPr>
          <w:trHeight w:val="355" w:hRule="atLeast"/>
          <w:jc w:val="center"/>
        </w:trPr>
        <w:tc>
          <w:tcPr>
            <w:tcW w:w="1363" w:type="dxa"/>
            <w:vMerge w:val="continue"/>
            <w:tcBorders>
              <w:left w:val="single" w:color="auto" w:sz="4" w:space="0"/>
              <w:right w:val="single" w:color="auto" w:sz="4" w:space="0"/>
            </w:tcBorders>
            <w:shd w:val="clear" w:color="auto" w:fill="auto"/>
            <w:noWrap/>
            <w:vAlign w:val="center"/>
          </w:tcPr>
          <w:p w14:paraId="59BBD175">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1BDDA5BB">
            <w:pPr>
              <w:widowControl/>
              <w:rPr>
                <w:rFonts w:hint="default"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其中： 一般公共预算收入：</w:t>
            </w:r>
            <w:r>
              <w:rPr>
                <w:rFonts w:hint="eastAsia" w:ascii="Times New Roman" w:hAnsi="Times New Roman" w:eastAsia="仿宋_GB2312"/>
                <w:color w:val="000000"/>
                <w:kern w:val="0"/>
                <w:szCs w:val="21"/>
                <w:lang w:val="en-US" w:eastAsia="zh-CN"/>
              </w:rPr>
              <w:t>1450.36</w:t>
            </w:r>
          </w:p>
        </w:tc>
        <w:tc>
          <w:tcPr>
            <w:tcW w:w="4370" w:type="dxa"/>
            <w:gridSpan w:val="6"/>
            <w:tcBorders>
              <w:top w:val="single" w:color="auto" w:sz="4" w:space="0"/>
              <w:left w:val="nil"/>
              <w:bottom w:val="single" w:color="auto" w:sz="4" w:space="0"/>
              <w:right w:val="single" w:color="000000" w:sz="4" w:space="0"/>
            </w:tcBorders>
            <w:shd w:val="clear" w:color="auto" w:fill="auto"/>
            <w:noWrap/>
            <w:vAlign w:val="center"/>
          </w:tcPr>
          <w:p w14:paraId="11902E65">
            <w:pPr>
              <w:widowControl/>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 xml:space="preserve"> 其中：基本支出：1341.48</w:t>
            </w:r>
          </w:p>
        </w:tc>
      </w:tr>
      <w:tr w14:paraId="61818167">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5E8B3674">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610D1F60">
            <w:pPr>
              <w:widowControl/>
              <w:ind w:firstLine="840" w:firstLineChars="400"/>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政府性基金拨款：</w:t>
            </w:r>
            <w:r>
              <w:rPr>
                <w:rFonts w:hint="eastAsia" w:ascii="Times New Roman" w:hAnsi="Times New Roman" w:eastAsia="仿宋_GB2312"/>
                <w:color w:val="000000"/>
                <w:kern w:val="0"/>
                <w:szCs w:val="21"/>
                <w:lang w:val="en-US" w:eastAsia="zh-CN"/>
              </w:rPr>
              <w:t>0</w:t>
            </w:r>
          </w:p>
        </w:tc>
        <w:tc>
          <w:tcPr>
            <w:tcW w:w="4370" w:type="dxa"/>
            <w:gridSpan w:val="6"/>
            <w:tcBorders>
              <w:top w:val="single" w:color="auto" w:sz="4" w:space="0"/>
              <w:left w:val="nil"/>
              <w:bottom w:val="single" w:color="auto" w:sz="4" w:space="0"/>
              <w:right w:val="single" w:color="000000" w:sz="4" w:space="0"/>
            </w:tcBorders>
            <w:shd w:val="clear" w:color="auto" w:fill="auto"/>
            <w:noWrap/>
            <w:vAlign w:val="center"/>
          </w:tcPr>
          <w:p w14:paraId="13CDBA25">
            <w:pPr>
              <w:widowControl/>
              <w:ind w:firstLine="840" w:firstLineChars="400"/>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项目支出：108.88</w:t>
            </w:r>
          </w:p>
        </w:tc>
      </w:tr>
      <w:tr w14:paraId="6A56D056">
        <w:tblPrEx>
          <w:tblCellMar>
            <w:top w:w="0" w:type="dxa"/>
            <w:left w:w="108" w:type="dxa"/>
            <w:bottom w:w="0" w:type="dxa"/>
            <w:right w:w="108" w:type="dxa"/>
          </w:tblCellMar>
        </w:tblPrEx>
        <w:trPr>
          <w:trHeight w:val="385" w:hRule="atLeast"/>
          <w:jc w:val="center"/>
        </w:trPr>
        <w:tc>
          <w:tcPr>
            <w:tcW w:w="1363" w:type="dxa"/>
            <w:vMerge w:val="continue"/>
            <w:tcBorders>
              <w:left w:val="single" w:color="auto" w:sz="4" w:space="0"/>
              <w:right w:val="single" w:color="auto" w:sz="4" w:space="0"/>
            </w:tcBorders>
            <w:shd w:val="clear" w:color="auto" w:fill="auto"/>
            <w:noWrap/>
            <w:vAlign w:val="center"/>
          </w:tcPr>
          <w:p w14:paraId="12A477A5">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306371C4">
            <w:pPr>
              <w:widowControl/>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纳入专户管理的非税收入拨款：</w:t>
            </w:r>
            <w:r>
              <w:rPr>
                <w:rFonts w:hint="eastAsia" w:ascii="Times New Roman" w:hAnsi="Times New Roman" w:eastAsia="仿宋_GB2312"/>
                <w:color w:val="000000"/>
                <w:kern w:val="0"/>
                <w:szCs w:val="21"/>
                <w:lang w:val="en-US" w:eastAsia="zh-CN"/>
              </w:rPr>
              <w:t>0</w:t>
            </w:r>
          </w:p>
        </w:tc>
        <w:tc>
          <w:tcPr>
            <w:tcW w:w="4370" w:type="dxa"/>
            <w:gridSpan w:val="6"/>
            <w:tcBorders>
              <w:top w:val="single" w:color="auto" w:sz="4" w:space="0"/>
              <w:left w:val="nil"/>
              <w:bottom w:val="single" w:color="auto" w:sz="4" w:space="0"/>
              <w:right w:val="single" w:color="000000" w:sz="4" w:space="0"/>
            </w:tcBorders>
            <w:shd w:val="clear" w:color="auto" w:fill="auto"/>
            <w:noWrap/>
            <w:vAlign w:val="center"/>
          </w:tcPr>
          <w:p w14:paraId="42FE78DC">
            <w:pPr>
              <w:widowControl/>
              <w:jc w:val="left"/>
              <w:rPr>
                <w:rFonts w:ascii="Times New Roman" w:hAnsi="Times New Roman" w:eastAsia="仿宋_GB2312"/>
                <w:color w:val="000000"/>
                <w:kern w:val="0"/>
                <w:szCs w:val="21"/>
              </w:rPr>
            </w:pPr>
          </w:p>
        </w:tc>
      </w:tr>
      <w:tr w14:paraId="131EA21D">
        <w:tblPrEx>
          <w:tblCellMar>
            <w:top w:w="0" w:type="dxa"/>
            <w:left w:w="108" w:type="dxa"/>
            <w:bottom w:w="0" w:type="dxa"/>
            <w:right w:w="108" w:type="dxa"/>
          </w:tblCellMar>
        </w:tblPrEx>
        <w:trPr>
          <w:trHeight w:val="375" w:hRule="atLeast"/>
          <w:jc w:val="center"/>
        </w:trPr>
        <w:tc>
          <w:tcPr>
            <w:tcW w:w="1363" w:type="dxa"/>
            <w:vMerge w:val="continue"/>
            <w:tcBorders>
              <w:left w:val="single" w:color="auto" w:sz="4" w:space="0"/>
              <w:bottom w:val="single" w:color="auto" w:sz="4" w:space="0"/>
              <w:right w:val="single" w:color="auto" w:sz="4" w:space="0"/>
            </w:tcBorders>
            <w:shd w:val="clear" w:color="auto" w:fill="auto"/>
            <w:noWrap/>
            <w:vAlign w:val="center"/>
          </w:tcPr>
          <w:p w14:paraId="594EFE3D">
            <w:pPr>
              <w:widowControl/>
              <w:spacing w:line="260" w:lineRule="exact"/>
              <w:jc w:val="center"/>
              <w:rPr>
                <w:rFonts w:ascii="Times New Roman" w:hAnsi="Times New Roman" w:eastAsia="仿宋_GB2312"/>
                <w:color w:val="000000"/>
                <w:kern w:val="0"/>
                <w:szCs w:val="21"/>
              </w:rPr>
            </w:pPr>
          </w:p>
        </w:tc>
        <w:tc>
          <w:tcPr>
            <w:tcW w:w="4620" w:type="dxa"/>
            <w:gridSpan w:val="5"/>
            <w:tcBorders>
              <w:top w:val="single" w:color="auto" w:sz="4" w:space="0"/>
              <w:left w:val="nil"/>
              <w:bottom w:val="single" w:color="auto" w:sz="4" w:space="0"/>
              <w:right w:val="single" w:color="000000" w:sz="4" w:space="0"/>
            </w:tcBorders>
            <w:shd w:val="clear" w:color="auto" w:fill="auto"/>
            <w:noWrap/>
            <w:vAlign w:val="center"/>
          </w:tcPr>
          <w:p w14:paraId="2AE8FDE0">
            <w:pPr>
              <w:widowControl/>
              <w:ind w:firstLine="1680" w:firstLineChars="800"/>
              <w:jc w:val="left"/>
              <w:rPr>
                <w:rFonts w:hint="eastAsia" w:ascii="Times New Roman" w:hAnsi="Times New Roman" w:eastAsia="仿宋_GB2312"/>
                <w:color w:val="000000"/>
                <w:kern w:val="0"/>
                <w:szCs w:val="21"/>
                <w:lang w:val="en-US" w:eastAsia="zh-CN"/>
              </w:rPr>
            </w:pPr>
            <w:r>
              <w:rPr>
                <w:rFonts w:ascii="Times New Roman" w:hAnsi="Times New Roman" w:eastAsia="仿宋_GB2312"/>
                <w:color w:val="000000"/>
                <w:kern w:val="0"/>
                <w:szCs w:val="21"/>
              </w:rPr>
              <w:t>其他资金：</w:t>
            </w:r>
            <w:r>
              <w:rPr>
                <w:rFonts w:hint="eastAsia" w:ascii="Times New Roman" w:hAnsi="Times New Roman" w:eastAsia="仿宋_GB2312"/>
                <w:color w:val="000000"/>
                <w:kern w:val="0"/>
                <w:szCs w:val="21"/>
                <w:lang w:val="en-US" w:eastAsia="zh-CN"/>
              </w:rPr>
              <w:t>0</w:t>
            </w:r>
          </w:p>
        </w:tc>
        <w:tc>
          <w:tcPr>
            <w:tcW w:w="4370" w:type="dxa"/>
            <w:gridSpan w:val="6"/>
            <w:tcBorders>
              <w:top w:val="single" w:color="auto" w:sz="4" w:space="0"/>
              <w:left w:val="nil"/>
              <w:bottom w:val="single" w:color="auto" w:sz="4" w:space="0"/>
              <w:right w:val="single" w:color="000000" w:sz="4" w:space="0"/>
            </w:tcBorders>
            <w:shd w:val="clear" w:color="auto" w:fill="auto"/>
            <w:noWrap/>
            <w:vAlign w:val="center"/>
          </w:tcPr>
          <w:p w14:paraId="1B4EC417">
            <w:pPr>
              <w:widowControl/>
              <w:ind w:firstLine="1680" w:firstLineChars="800"/>
              <w:jc w:val="left"/>
              <w:rPr>
                <w:rFonts w:ascii="Times New Roman" w:hAnsi="Times New Roman" w:eastAsia="仿宋_GB2312"/>
                <w:color w:val="000000"/>
                <w:kern w:val="0"/>
                <w:szCs w:val="21"/>
              </w:rPr>
            </w:pPr>
          </w:p>
        </w:tc>
      </w:tr>
      <w:tr w14:paraId="3E5F33E8">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61EA410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部门职能职责概述</w:t>
            </w:r>
          </w:p>
        </w:tc>
        <w:tc>
          <w:tcPr>
            <w:tcW w:w="8990" w:type="dxa"/>
            <w:gridSpan w:val="11"/>
            <w:tcBorders>
              <w:top w:val="single" w:color="auto" w:sz="4" w:space="0"/>
              <w:left w:val="nil"/>
              <w:bottom w:val="single" w:color="auto" w:sz="4" w:space="0"/>
              <w:right w:val="single" w:color="auto" w:sz="4" w:space="0"/>
            </w:tcBorders>
            <w:shd w:val="clear" w:color="auto" w:fill="auto"/>
            <w:noWrap/>
            <w:vAlign w:val="center"/>
          </w:tcPr>
          <w:p w14:paraId="6F8FE693">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主要负责城区住房保障和房产市场管理相关事务性工作。</w:t>
            </w:r>
          </w:p>
        </w:tc>
      </w:tr>
      <w:tr w14:paraId="7CF073FE">
        <w:tblPrEx>
          <w:tblCellMar>
            <w:top w:w="0" w:type="dxa"/>
            <w:left w:w="108" w:type="dxa"/>
            <w:bottom w:w="0" w:type="dxa"/>
            <w:right w:w="108" w:type="dxa"/>
          </w:tblCellMar>
        </w:tblPrEx>
        <w:trPr>
          <w:trHeight w:val="609" w:hRule="atLeast"/>
          <w:jc w:val="center"/>
        </w:trPr>
        <w:tc>
          <w:tcPr>
            <w:tcW w:w="1363" w:type="dxa"/>
            <w:tcBorders>
              <w:top w:val="nil"/>
              <w:left w:val="single" w:color="auto" w:sz="4" w:space="0"/>
              <w:bottom w:val="single" w:color="auto" w:sz="4" w:space="0"/>
              <w:right w:val="single" w:color="auto" w:sz="4" w:space="0"/>
            </w:tcBorders>
            <w:shd w:val="clear" w:color="auto" w:fill="auto"/>
            <w:noWrap/>
            <w:vAlign w:val="center"/>
          </w:tcPr>
          <w:p w14:paraId="030BAFF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整体绩效</w:t>
            </w:r>
          </w:p>
          <w:p w14:paraId="0ED9192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目标</w:t>
            </w:r>
          </w:p>
        </w:tc>
        <w:tc>
          <w:tcPr>
            <w:tcW w:w="8990" w:type="dxa"/>
            <w:gridSpan w:val="11"/>
            <w:tcBorders>
              <w:top w:val="single" w:color="auto" w:sz="4" w:space="0"/>
              <w:left w:val="nil"/>
              <w:bottom w:val="single" w:color="auto" w:sz="4" w:space="0"/>
              <w:right w:val="single" w:color="auto" w:sz="4" w:space="0"/>
            </w:tcBorders>
            <w:shd w:val="clear" w:color="auto" w:fill="auto"/>
            <w:noWrap/>
            <w:vAlign w:val="center"/>
          </w:tcPr>
          <w:p w14:paraId="611E224A">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w:t>
            </w:r>
            <w:r>
              <w:rPr>
                <w:rFonts w:hint="eastAsia" w:ascii="Times New Roman" w:hAnsi="Times New Roman" w:eastAsia="仿宋_GB2312"/>
                <w:color w:val="000000"/>
                <w:kern w:val="0"/>
                <w:szCs w:val="21"/>
              </w:rPr>
              <w:t>在稳定市场中当主力。</w:t>
            </w:r>
            <w:r>
              <w:rPr>
                <w:rFonts w:hint="eastAsia" w:ascii="Times New Roman" w:hAnsi="Times New Roman" w:eastAsia="仿宋_GB2312"/>
                <w:color w:val="000000"/>
                <w:kern w:val="0"/>
                <w:szCs w:val="21"/>
                <w:lang w:val="en-US" w:eastAsia="zh-CN"/>
              </w:rPr>
              <w:t>2、在住有所居中当先锋。3、在服务民生中唱主角。</w:t>
            </w:r>
          </w:p>
        </w:tc>
      </w:tr>
      <w:tr w14:paraId="2AFA93D9">
        <w:tblPrEx>
          <w:tblCellMar>
            <w:top w:w="0" w:type="dxa"/>
            <w:left w:w="108" w:type="dxa"/>
            <w:bottom w:w="0" w:type="dxa"/>
            <w:right w:w="108" w:type="dxa"/>
          </w:tblCellMar>
        </w:tblPrEx>
        <w:trPr>
          <w:trHeight w:val="763" w:hRule="atLeast"/>
          <w:jc w:val="center"/>
        </w:trPr>
        <w:tc>
          <w:tcPr>
            <w:tcW w:w="1363" w:type="dxa"/>
            <w:vMerge w:val="restart"/>
            <w:tcBorders>
              <w:top w:val="single" w:color="auto" w:sz="4" w:space="0"/>
              <w:left w:val="single" w:color="auto" w:sz="4" w:space="0"/>
              <w:right w:val="single" w:color="auto" w:sz="4" w:space="0"/>
            </w:tcBorders>
            <w:shd w:val="clear" w:color="auto" w:fill="auto"/>
            <w:noWrap/>
            <w:vAlign w:val="center"/>
          </w:tcPr>
          <w:p w14:paraId="7759164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部门整体支出年度绩效指标</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79F0EA9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10" w:type="dxa"/>
            <w:tcBorders>
              <w:top w:val="single" w:color="auto" w:sz="4" w:space="0"/>
              <w:left w:val="nil"/>
              <w:bottom w:val="single" w:color="auto" w:sz="4" w:space="0"/>
              <w:right w:val="single" w:color="auto" w:sz="4" w:space="0"/>
            </w:tcBorders>
            <w:shd w:val="clear" w:color="auto" w:fill="auto"/>
            <w:noWrap/>
            <w:vAlign w:val="center"/>
          </w:tcPr>
          <w:p w14:paraId="370829C2">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312" w:type="dxa"/>
            <w:tcBorders>
              <w:top w:val="single" w:color="auto" w:sz="4" w:space="0"/>
              <w:left w:val="nil"/>
              <w:bottom w:val="single" w:color="auto" w:sz="4" w:space="0"/>
              <w:right w:val="single" w:color="auto" w:sz="4" w:space="0"/>
            </w:tcBorders>
            <w:shd w:val="clear" w:color="auto" w:fill="auto"/>
            <w:noWrap/>
            <w:vAlign w:val="center"/>
          </w:tcPr>
          <w:p w14:paraId="1C0DEE7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477912A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1FE27D4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948" w:type="dxa"/>
            <w:gridSpan w:val="2"/>
            <w:tcBorders>
              <w:top w:val="single" w:color="auto" w:sz="4" w:space="0"/>
              <w:left w:val="nil"/>
              <w:bottom w:val="single" w:color="auto" w:sz="4" w:space="0"/>
              <w:right w:val="single" w:color="auto" w:sz="4" w:space="0"/>
            </w:tcBorders>
            <w:shd w:val="clear" w:color="auto" w:fill="auto"/>
            <w:noWrap/>
            <w:vAlign w:val="center"/>
          </w:tcPr>
          <w:p w14:paraId="79F4A570">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612429A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1170" w:type="dxa"/>
            <w:gridSpan w:val="2"/>
            <w:tcBorders>
              <w:top w:val="single" w:color="auto" w:sz="4" w:space="0"/>
              <w:left w:val="nil"/>
              <w:bottom w:val="single" w:color="auto" w:sz="4" w:space="0"/>
              <w:right w:val="single" w:color="auto" w:sz="4" w:space="0"/>
            </w:tcBorders>
            <w:shd w:val="clear" w:color="auto" w:fill="auto"/>
            <w:noWrap/>
            <w:vAlign w:val="center"/>
          </w:tcPr>
          <w:p w14:paraId="5C5B2D8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765" w:type="dxa"/>
            <w:tcBorders>
              <w:top w:val="single" w:color="auto" w:sz="4" w:space="0"/>
              <w:left w:val="nil"/>
              <w:bottom w:val="single" w:color="auto" w:sz="4" w:space="0"/>
              <w:right w:val="single" w:color="auto" w:sz="4" w:space="0"/>
            </w:tcBorders>
            <w:shd w:val="clear" w:color="auto" w:fill="auto"/>
            <w:noWrap/>
            <w:vAlign w:val="center"/>
          </w:tcPr>
          <w:p w14:paraId="766E28B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50C5138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42EE9D5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32409F7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5B5F3D2E">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B0EE33C">
            <w:pPr>
              <w:jc w:val="center"/>
              <w:rPr>
                <w:rFonts w:ascii="Times New Roman" w:hAnsi="Times New Roman" w:eastAsia="仿宋_GB2312"/>
                <w:color w:val="000000"/>
                <w:kern w:val="0"/>
                <w:szCs w:val="21"/>
              </w:rPr>
            </w:pPr>
          </w:p>
        </w:tc>
        <w:tc>
          <w:tcPr>
            <w:tcW w:w="1020" w:type="dxa"/>
            <w:vMerge w:val="restart"/>
            <w:tcBorders>
              <w:top w:val="single" w:color="auto" w:sz="4" w:space="0"/>
              <w:left w:val="nil"/>
              <w:bottom w:val="single" w:color="auto" w:sz="4" w:space="0"/>
              <w:right w:val="single" w:color="auto" w:sz="4" w:space="0"/>
            </w:tcBorders>
            <w:shd w:val="clear" w:color="auto" w:fill="auto"/>
            <w:noWrap/>
            <w:vAlign w:val="center"/>
          </w:tcPr>
          <w:p w14:paraId="71E079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4AB1F6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73E2BEE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50</w:t>
            </w:r>
            <w:r>
              <w:rPr>
                <w:rFonts w:ascii="Times New Roman" w:hAnsi="Times New Roman" w:eastAsia="仿宋_GB2312"/>
                <w:color w:val="000000"/>
                <w:kern w:val="0"/>
                <w:szCs w:val="21"/>
              </w:rPr>
              <w:t>分)</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26DF9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CAA8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预售资金监管协议备案</w:t>
            </w:r>
            <w:r>
              <w:rPr>
                <w:rFonts w:hint="eastAsia" w:ascii="宋体" w:hAnsi="宋体" w:cs="宋体"/>
                <w:color w:val="000000"/>
                <w:kern w:val="0"/>
                <w:sz w:val="18"/>
                <w:szCs w:val="18"/>
                <w:lang w:eastAsia="zh-CN"/>
              </w:rPr>
              <w:t>率</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6AE7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98</w:t>
            </w:r>
            <w:r>
              <w:rPr>
                <w:rFonts w:hint="eastAsia" w:ascii="宋体" w:hAnsi="宋体" w:eastAsia="宋体" w:cs="宋体"/>
                <w:color w:val="000000"/>
                <w:kern w:val="0"/>
                <w:sz w:val="18"/>
                <w:szCs w:val="18"/>
                <w:lang w:eastAsia="zh-CN"/>
              </w:rPr>
              <w:t>%</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9AF20A">
            <w:pPr>
              <w:widowControl/>
              <w:ind w:firstLine="180" w:firstLineChars="100"/>
              <w:jc w:val="center"/>
              <w:rPr>
                <w:rFonts w:hint="eastAsia" w:ascii="宋体" w:hAnsi="宋体" w:eastAsia="宋体" w:cs="宋体"/>
                <w:color w:val="000000"/>
                <w:kern w:val="0"/>
                <w:sz w:val="18"/>
                <w:szCs w:val="18"/>
              </w:rPr>
            </w:pPr>
            <w:r>
              <w:rPr>
                <w:rFonts w:hint="eastAsia" w:ascii="宋体" w:hAnsi="宋体" w:cs="宋体"/>
                <w:color w:val="000000"/>
                <w:kern w:val="0"/>
                <w:sz w:val="18"/>
                <w:szCs w:val="18"/>
                <w:lang w:val="en-US" w:eastAsia="zh-CN"/>
              </w:rPr>
              <w:t>100</w:t>
            </w:r>
            <w:r>
              <w:rPr>
                <w:rFonts w:hint="eastAsia" w:ascii="宋体" w:hAnsi="宋体" w:eastAsia="宋体" w:cs="宋体"/>
                <w:color w:val="000000"/>
                <w:kern w:val="0"/>
                <w:sz w:val="18"/>
                <w:szCs w:val="18"/>
                <w:lang w:eastAsia="zh-CN"/>
              </w:rPr>
              <w:t>%</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7415ED">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D02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5分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3B0725C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24A1C8">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285CA056">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0B3244B8">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2BBEA9">
            <w:pPr>
              <w:widowControl/>
              <w:jc w:val="center"/>
              <w:rPr>
                <w:rFonts w:hint="eastAsia" w:ascii="宋体" w:hAnsi="宋体" w:eastAsia="宋体" w:cs="宋体"/>
                <w:color w:val="000000"/>
                <w:kern w:val="0"/>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6287E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开工项目的</w:t>
            </w:r>
            <w:r>
              <w:rPr>
                <w:rFonts w:hint="eastAsia" w:ascii="宋体" w:hAnsi="宋体" w:eastAsia="宋体" w:cs="宋体"/>
                <w:color w:val="000000"/>
                <w:kern w:val="0"/>
                <w:sz w:val="18"/>
                <w:szCs w:val="18"/>
                <w:lang w:val="en-US" w:eastAsia="zh-CN"/>
              </w:rPr>
              <w:t>项目资本金</w:t>
            </w:r>
            <w:r>
              <w:rPr>
                <w:rFonts w:hint="eastAsia" w:ascii="宋体" w:hAnsi="宋体" w:eastAsia="宋体" w:cs="宋体"/>
                <w:color w:val="000000"/>
                <w:kern w:val="0"/>
                <w:sz w:val="18"/>
                <w:szCs w:val="18"/>
                <w:lang w:eastAsia="zh-CN"/>
              </w:rPr>
              <w:t>缴</w:t>
            </w:r>
            <w:r>
              <w:rPr>
                <w:rFonts w:hint="eastAsia" w:ascii="宋体" w:hAnsi="宋体" w:cs="宋体"/>
                <w:color w:val="000000"/>
                <w:kern w:val="0"/>
                <w:sz w:val="18"/>
                <w:szCs w:val="18"/>
                <w:lang w:eastAsia="zh-CN"/>
              </w:rPr>
              <w:t>纳</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5EB1E">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FC3770">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100%</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36DE7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195F3">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32430A8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43167D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7DF91AF9">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D775B95">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7F738">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4DDAA8">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公租房分配</w:t>
            </w:r>
            <w:r>
              <w:rPr>
                <w:rFonts w:hint="eastAsia" w:ascii="宋体" w:hAnsi="宋体" w:eastAsia="宋体" w:cs="宋体"/>
                <w:color w:val="000000"/>
                <w:kern w:val="0"/>
                <w:sz w:val="18"/>
                <w:szCs w:val="18"/>
                <w:lang w:eastAsia="zh-CN"/>
              </w:rPr>
              <w:t>率</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38C5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≥98%</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1E70E3">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100%</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5E347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119484">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055E9FC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34EE4B">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0795173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738A1FF9">
            <w:pPr>
              <w:jc w:val="left"/>
              <w:rPr>
                <w:rFonts w:ascii="Times New Roman" w:hAnsi="Times New Roman" w:eastAsia="仿宋_GB2312"/>
                <w:color w:val="000000"/>
                <w:kern w:val="0"/>
                <w:szCs w:val="21"/>
              </w:rPr>
            </w:pP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E7F58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62CB">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公租房房源分配</w:t>
            </w:r>
            <w:r>
              <w:rPr>
                <w:rFonts w:hint="eastAsia" w:ascii="宋体" w:hAnsi="宋体" w:eastAsia="宋体" w:cs="宋体"/>
                <w:color w:val="000000"/>
                <w:kern w:val="0"/>
                <w:sz w:val="18"/>
                <w:szCs w:val="18"/>
                <w:lang w:eastAsia="zh-CN"/>
              </w:rPr>
              <w:t>及时性</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53C7F">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及时</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CD08F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及时</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84D9249">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BD2B5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4CB29BA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A76C8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5B4F8EEF">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6FD232AD">
            <w:pPr>
              <w:jc w:val="left"/>
              <w:rPr>
                <w:rFonts w:ascii="Times New Roman" w:hAnsi="Times New Roman" w:eastAsia="仿宋_GB2312"/>
                <w:color w:val="000000"/>
                <w:kern w:val="0"/>
                <w:szCs w:val="21"/>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C9EE67">
            <w:pPr>
              <w:widowControl/>
              <w:jc w:val="center"/>
              <w:rPr>
                <w:rFonts w:hint="eastAsia" w:ascii="宋体" w:hAnsi="宋体" w:eastAsia="宋体" w:cs="宋体"/>
                <w:color w:val="000000"/>
                <w:kern w:val="0"/>
                <w:sz w:val="18"/>
                <w:szCs w:val="18"/>
              </w:rPr>
            </w:pP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07D44">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租赁补贴发放</w:t>
            </w:r>
            <w:r>
              <w:rPr>
                <w:rFonts w:hint="eastAsia" w:ascii="宋体" w:hAnsi="宋体" w:eastAsia="宋体" w:cs="宋体"/>
                <w:color w:val="000000"/>
                <w:kern w:val="0"/>
                <w:sz w:val="18"/>
                <w:szCs w:val="18"/>
                <w:lang w:eastAsia="zh-CN"/>
              </w:rPr>
              <w:t>及时性</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6F0FD">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及时</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5B60C3">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及时</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EDD08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8938C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5318F20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D95471">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D47A313">
            <w:pPr>
              <w:jc w:val="center"/>
              <w:rPr>
                <w:rFonts w:ascii="Times New Roman" w:hAnsi="Times New Roman" w:eastAsia="仿宋_GB2312"/>
                <w:color w:val="000000"/>
                <w:kern w:val="0"/>
                <w:szCs w:val="21"/>
              </w:rPr>
            </w:pPr>
          </w:p>
        </w:tc>
        <w:tc>
          <w:tcPr>
            <w:tcW w:w="1020" w:type="dxa"/>
            <w:vMerge w:val="continue"/>
            <w:tcBorders>
              <w:top w:val="single" w:color="auto" w:sz="4" w:space="0"/>
              <w:left w:val="nil"/>
              <w:bottom w:val="single" w:color="auto" w:sz="4" w:space="0"/>
              <w:right w:val="single" w:color="auto" w:sz="4" w:space="0"/>
            </w:tcBorders>
            <w:shd w:val="clear" w:color="auto" w:fill="auto"/>
            <w:noWrap/>
            <w:vAlign w:val="center"/>
          </w:tcPr>
          <w:p w14:paraId="57EB1661">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BEBC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CC711C">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eastAsia="zh-CN"/>
              </w:rPr>
              <w:t>一般公共支出“三公经费”控制率</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6880D">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98%</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119EFC">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144.8</w:t>
            </w:r>
            <w:r>
              <w:rPr>
                <w:rFonts w:hint="eastAsia" w:ascii="宋体" w:hAnsi="宋体" w:eastAsia="宋体" w:cs="宋体"/>
                <w:color w:val="000000"/>
                <w:kern w:val="0"/>
                <w:sz w:val="18"/>
                <w:szCs w:val="18"/>
                <w:lang w:val="en-US" w:eastAsia="zh-CN"/>
              </w:rPr>
              <w:t>%</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A2853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2D4B8B">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0</w:t>
            </w:r>
            <w:r>
              <w:rPr>
                <w:rFonts w:hint="eastAsia" w:ascii="宋体" w:hAnsi="宋体" w:eastAsia="宋体" w:cs="宋体"/>
                <w:color w:val="000000"/>
                <w:kern w:val="0"/>
                <w:sz w:val="18"/>
                <w:szCs w:val="18"/>
                <w:lang w:val="en-US" w:eastAsia="zh-CN"/>
              </w:rPr>
              <w:t>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70359BD1">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w:t>
            </w:r>
            <w:r>
              <w:rPr>
                <w:rFonts w:hint="eastAsia" w:ascii="宋体" w:hAnsi="宋体" w:cs="宋体"/>
                <w:color w:val="000000"/>
                <w:kern w:val="0"/>
                <w:sz w:val="18"/>
                <w:szCs w:val="18"/>
                <w:lang w:eastAsia="zh-CN"/>
              </w:rPr>
              <w:t>增加一台汽油公务用车后未及时修改预算支出</w:t>
            </w:r>
          </w:p>
        </w:tc>
      </w:tr>
      <w:tr w14:paraId="7FE7C5A9">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BB975DB">
            <w:pPr>
              <w:jc w:val="center"/>
              <w:rPr>
                <w:rFonts w:ascii="Times New Roman" w:hAnsi="Times New Roman" w:eastAsia="仿宋_GB2312"/>
                <w:color w:val="000000"/>
                <w:kern w:val="0"/>
                <w:szCs w:val="21"/>
              </w:rPr>
            </w:pPr>
          </w:p>
        </w:tc>
        <w:tc>
          <w:tcPr>
            <w:tcW w:w="1020" w:type="dxa"/>
            <w:vMerge w:val="restart"/>
            <w:tcBorders>
              <w:top w:val="single" w:color="auto" w:sz="4" w:space="0"/>
              <w:left w:val="nil"/>
              <w:right w:val="single" w:color="auto" w:sz="4" w:space="0"/>
            </w:tcBorders>
            <w:shd w:val="clear" w:color="auto" w:fill="auto"/>
            <w:noWrap/>
            <w:vAlign w:val="center"/>
          </w:tcPr>
          <w:p w14:paraId="6FCCE4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21EC6FE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1ADA1CA5">
            <w:pPr>
              <w:widowControl/>
              <w:rPr>
                <w:rFonts w:ascii="Times New Roman" w:hAnsi="Times New Roman" w:eastAsia="仿宋_GB2312"/>
                <w:color w:val="000000"/>
                <w:kern w:val="0"/>
                <w:szCs w:val="21"/>
              </w:rPr>
            </w:pPr>
            <w:r>
              <w:rPr>
                <w:rFonts w:ascii="Times New Roman" w:hAnsi="Times New Roman" w:eastAsia="仿宋_GB2312"/>
                <w:color w:val="000000"/>
                <w:kern w:val="0"/>
                <w:szCs w:val="21"/>
              </w:rPr>
              <w:t>（</w:t>
            </w:r>
            <w:r>
              <w:rPr>
                <w:rFonts w:hint="eastAsia" w:ascii="Times New Roman" w:hAnsi="Times New Roman" w:eastAsia="仿宋_GB2312"/>
                <w:color w:val="000000"/>
                <w:kern w:val="0"/>
                <w:szCs w:val="21"/>
                <w:lang w:val="en-US" w:eastAsia="zh-CN"/>
              </w:rPr>
              <w:t>40</w:t>
            </w:r>
            <w:r>
              <w:rPr>
                <w:rFonts w:ascii="Times New Roman" w:hAnsi="Times New Roman" w:eastAsia="仿宋_GB2312"/>
                <w:color w:val="000000"/>
                <w:kern w:val="0"/>
                <w:szCs w:val="21"/>
              </w:rPr>
              <w:t>分）</w:t>
            </w:r>
          </w:p>
          <w:p w14:paraId="13ABA54D">
            <w:pPr>
              <w:jc w:val="left"/>
              <w:rPr>
                <w:rFonts w:ascii="Times New Roman" w:hAnsi="Times New Roman" w:eastAsia="仿宋_GB2312"/>
                <w:color w:val="000000"/>
                <w:kern w:val="0"/>
                <w:szCs w:val="21"/>
              </w:rPr>
            </w:pPr>
          </w:p>
          <w:p w14:paraId="13E51B47">
            <w:pPr>
              <w:widowControl/>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934B6">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w:t>
            </w:r>
          </w:p>
          <w:p w14:paraId="25534EB2">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益指标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2F464">
            <w:pPr>
              <w:widowControl/>
              <w:jc w:val="center"/>
              <w:rPr>
                <w:rFonts w:hint="eastAsia" w:ascii="宋体" w:hAnsi="宋体" w:eastAsia="宋体" w:cs="宋体"/>
                <w:color w:val="000000"/>
                <w:kern w:val="0"/>
                <w:sz w:val="18"/>
                <w:szCs w:val="18"/>
              </w:rPr>
            </w:pPr>
            <w:r>
              <w:rPr>
                <w:rFonts w:hint="eastAsia" w:ascii="宋体" w:hAnsi="宋体" w:eastAsia="宋体" w:cs="宋体"/>
                <w:kern w:val="0"/>
                <w:sz w:val="18"/>
                <w:szCs w:val="18"/>
                <w:lang w:val="en-US" w:eastAsia="zh-CN"/>
              </w:rPr>
              <w:t>营商环境</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61026">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改善</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0358F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改善</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B3162E4">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58CF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107095C0">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01FF13">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306A7B59">
            <w:pPr>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09C47D2C">
            <w:pPr>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F7FB7D">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社会效</w:t>
            </w:r>
          </w:p>
          <w:p w14:paraId="5C59A23A">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益指标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7F9D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市场秩序</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9AF12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平稳</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E4A75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较</w:t>
            </w:r>
            <w:r>
              <w:rPr>
                <w:rFonts w:hint="eastAsia" w:ascii="宋体" w:hAnsi="宋体" w:eastAsia="宋体" w:cs="宋体"/>
                <w:color w:val="000000"/>
                <w:kern w:val="0"/>
                <w:sz w:val="18"/>
                <w:szCs w:val="18"/>
              </w:rPr>
              <w:t>平稳</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F039E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22E92">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10分</w:t>
            </w:r>
          </w:p>
        </w:tc>
        <w:tc>
          <w:tcPr>
            <w:tcW w:w="1625" w:type="dxa"/>
            <w:gridSpan w:val="2"/>
            <w:tcBorders>
              <w:top w:val="single" w:color="auto" w:sz="4" w:space="0"/>
              <w:left w:val="nil"/>
              <w:bottom w:val="single" w:color="auto" w:sz="4" w:space="0"/>
              <w:right w:val="single" w:color="auto" w:sz="4" w:space="0"/>
            </w:tcBorders>
            <w:shd w:val="clear" w:color="auto" w:fill="auto"/>
            <w:noWrap/>
            <w:vAlign w:val="center"/>
          </w:tcPr>
          <w:p w14:paraId="6174339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8CC9482">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6A98B1AE">
            <w:pPr>
              <w:widowControl/>
              <w:jc w:val="center"/>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02AFB13">
            <w:pPr>
              <w:widowControl/>
              <w:jc w:val="left"/>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7FC5E9">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7ECEAA">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保障</w:t>
            </w:r>
            <w:r>
              <w:rPr>
                <w:rFonts w:hint="eastAsia" w:ascii="宋体" w:hAnsi="宋体" w:eastAsia="宋体" w:cs="宋体"/>
                <w:color w:val="000000"/>
                <w:kern w:val="0"/>
                <w:sz w:val="18"/>
                <w:szCs w:val="18"/>
                <w:lang w:eastAsia="zh-CN"/>
              </w:rPr>
              <w:t>性</w:t>
            </w:r>
            <w:r>
              <w:rPr>
                <w:rFonts w:hint="eastAsia" w:ascii="宋体" w:hAnsi="宋体" w:eastAsia="宋体" w:cs="宋体"/>
                <w:color w:val="000000"/>
                <w:kern w:val="0"/>
                <w:sz w:val="18"/>
                <w:szCs w:val="18"/>
              </w:rPr>
              <w:t>住房人居环境</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878A4E">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持续提升</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977DBA">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不断提升</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C62B66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679FD9">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5AF74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596A1BF">
        <w:tblPrEx>
          <w:tblCellMar>
            <w:top w:w="0" w:type="dxa"/>
            <w:left w:w="108" w:type="dxa"/>
            <w:bottom w:w="0" w:type="dxa"/>
            <w:right w:w="108" w:type="dxa"/>
          </w:tblCellMar>
        </w:tblPrEx>
        <w:trPr>
          <w:trHeight w:val="340" w:hRule="atLeast"/>
          <w:jc w:val="center"/>
        </w:trPr>
        <w:tc>
          <w:tcPr>
            <w:tcW w:w="1363" w:type="dxa"/>
            <w:vMerge w:val="continue"/>
            <w:tcBorders>
              <w:left w:val="single" w:color="auto" w:sz="4" w:space="0"/>
              <w:right w:val="single" w:color="auto" w:sz="4" w:space="0"/>
            </w:tcBorders>
            <w:shd w:val="clear" w:color="auto" w:fill="auto"/>
            <w:noWrap/>
            <w:vAlign w:val="center"/>
          </w:tcPr>
          <w:p w14:paraId="49603DDE">
            <w:pPr>
              <w:jc w:val="left"/>
              <w:rPr>
                <w:rFonts w:ascii="Times New Roman" w:hAnsi="Times New Roman" w:eastAsia="仿宋_GB2312"/>
                <w:color w:val="000000"/>
                <w:kern w:val="0"/>
                <w:szCs w:val="21"/>
              </w:rPr>
            </w:pPr>
          </w:p>
        </w:tc>
        <w:tc>
          <w:tcPr>
            <w:tcW w:w="1020" w:type="dxa"/>
            <w:vMerge w:val="continue"/>
            <w:tcBorders>
              <w:left w:val="nil"/>
              <w:right w:val="single" w:color="auto" w:sz="4" w:space="0"/>
            </w:tcBorders>
            <w:shd w:val="clear" w:color="auto" w:fill="auto"/>
            <w:noWrap/>
            <w:vAlign w:val="center"/>
          </w:tcPr>
          <w:p w14:paraId="1E4CA8EA">
            <w:pPr>
              <w:widowControl/>
              <w:jc w:val="center"/>
              <w:rPr>
                <w:rFonts w:ascii="Times New Roman" w:hAnsi="Times New Roman" w:eastAsia="仿宋_GB2312"/>
                <w:color w:val="000000"/>
                <w:kern w:val="0"/>
                <w:szCs w:val="21"/>
              </w:rPr>
            </w:pPr>
          </w:p>
        </w:tc>
        <w:tc>
          <w:tcPr>
            <w:tcW w:w="11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9F411">
            <w:pPr>
              <w:widowControl/>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社会公众或服务对象满意度</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9FCAC">
            <w:pPr>
              <w:widowControl/>
              <w:jc w:val="center"/>
              <w:rPr>
                <w:rFonts w:hint="eastAsia" w:ascii="宋体" w:hAnsi="宋体" w:eastAsia="宋体" w:cs="宋体"/>
                <w:color w:val="000000"/>
                <w:kern w:val="0"/>
                <w:sz w:val="18"/>
                <w:szCs w:val="18"/>
              </w:rPr>
            </w:pPr>
            <w:r>
              <w:rPr>
                <w:rFonts w:hint="eastAsia" w:hAnsi="宋体"/>
                <w:color w:val="000000"/>
                <w:kern w:val="0"/>
                <w:sz w:val="18"/>
                <w:szCs w:val="18"/>
              </w:rPr>
              <w:t>服务对象满意度</w:t>
            </w:r>
          </w:p>
        </w:tc>
        <w:tc>
          <w:tcPr>
            <w:tcW w:w="10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93EE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≥98%</w:t>
            </w:r>
          </w:p>
        </w:tc>
        <w:tc>
          <w:tcPr>
            <w:tcW w:w="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34A978F">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99</w:t>
            </w:r>
            <w:r>
              <w:rPr>
                <w:rFonts w:hint="eastAsia" w:ascii="宋体" w:hAnsi="宋体" w:eastAsia="宋体" w:cs="宋体"/>
                <w:color w:val="000000"/>
                <w:kern w:val="0"/>
                <w:sz w:val="18"/>
                <w:szCs w:val="18"/>
                <w:lang w:val="en-US" w:eastAsia="zh-CN"/>
              </w:rPr>
              <w:t>%</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BE5C5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D3A1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625" w:type="dxa"/>
            <w:gridSpan w:val="2"/>
            <w:tcBorders>
              <w:top w:val="nil"/>
              <w:left w:val="nil"/>
              <w:bottom w:val="single" w:color="auto" w:sz="4" w:space="0"/>
              <w:right w:val="single" w:color="auto" w:sz="4" w:space="0"/>
            </w:tcBorders>
            <w:shd w:val="clear" w:color="auto" w:fill="auto"/>
            <w:noWrap/>
            <w:vAlign w:val="center"/>
          </w:tcPr>
          <w:p w14:paraId="702300F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653BE4">
        <w:tblPrEx>
          <w:tblCellMar>
            <w:top w:w="0" w:type="dxa"/>
            <w:left w:w="108" w:type="dxa"/>
            <w:bottom w:w="0" w:type="dxa"/>
            <w:right w:w="108" w:type="dxa"/>
          </w:tblCellMar>
        </w:tblPrEx>
        <w:trPr>
          <w:trHeight w:val="340" w:hRule="atLeast"/>
          <w:jc w:val="center"/>
        </w:trPr>
        <w:tc>
          <w:tcPr>
            <w:tcW w:w="6793"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CDA04B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094F7D">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0</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C298C8">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80</w:t>
            </w:r>
          </w:p>
        </w:tc>
        <w:tc>
          <w:tcPr>
            <w:tcW w:w="162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FD493">
            <w:pPr>
              <w:widowControl/>
              <w:jc w:val="left"/>
              <w:rPr>
                <w:rFonts w:ascii="Times New Roman" w:hAnsi="Times New Roman" w:eastAsia="仿宋_GB2312"/>
                <w:color w:val="000000"/>
                <w:kern w:val="0"/>
                <w:szCs w:val="21"/>
              </w:rPr>
            </w:pPr>
          </w:p>
        </w:tc>
      </w:tr>
    </w:tbl>
    <w:p w14:paraId="15AEAD76">
      <w:pPr>
        <w:rPr>
          <w:rFonts w:hint="eastAsia" w:ascii="仿宋_GB2312" w:hAnsi="Times New Roman" w:eastAsia="仿宋_GB2312"/>
          <w:sz w:val="32"/>
          <w:szCs w:val="32"/>
        </w:rPr>
      </w:pPr>
    </w:p>
    <w:p w14:paraId="07785F91">
      <w:pPr>
        <w:rPr>
          <w:rFonts w:hint="eastAsia" w:ascii="仿宋_GB2312" w:hAnsi="Times New Roman" w:eastAsia="仿宋_GB2312"/>
          <w:sz w:val="32"/>
          <w:szCs w:val="32"/>
        </w:rPr>
      </w:pPr>
    </w:p>
    <w:p w14:paraId="01E86A57">
      <w:pPr>
        <w:rPr>
          <w:rFonts w:ascii="Times New Roman" w:hAnsi="Times New Roman" w:eastAsia="黑体"/>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3</w:t>
      </w:r>
      <w:r>
        <w:rPr>
          <w:rFonts w:ascii="仿宋_GB2312" w:hAnsi="Times New Roman" w:eastAsia="仿宋_GB2312"/>
          <w:kern w:val="0"/>
          <w:sz w:val="22"/>
        </w:rPr>
        <w:t xml:space="preserve"> </w:t>
      </w:r>
      <w:r>
        <w:rPr>
          <w:rFonts w:ascii="Times New Roman" w:hAnsi="Times New Roman" w:eastAsia="Times New Roman"/>
          <w:kern w:val="0"/>
          <w:sz w:val="22"/>
        </w:rPr>
        <w:t xml:space="preserve"> </w:t>
      </w:r>
    </w:p>
    <w:tbl>
      <w:tblPr>
        <w:tblStyle w:val="3"/>
        <w:tblW w:w="9999" w:type="dxa"/>
        <w:jc w:val="center"/>
        <w:tblLayout w:type="fixed"/>
        <w:tblCellMar>
          <w:top w:w="0" w:type="dxa"/>
          <w:left w:w="108" w:type="dxa"/>
          <w:bottom w:w="0" w:type="dxa"/>
          <w:right w:w="108" w:type="dxa"/>
        </w:tblCellMar>
      </w:tblPr>
      <w:tblGrid>
        <w:gridCol w:w="1135"/>
        <w:gridCol w:w="992"/>
        <w:gridCol w:w="1138"/>
        <w:gridCol w:w="1278"/>
        <w:gridCol w:w="1230"/>
        <w:gridCol w:w="1107"/>
        <w:gridCol w:w="885"/>
        <w:gridCol w:w="963"/>
        <w:gridCol w:w="1271"/>
      </w:tblGrid>
      <w:tr w14:paraId="6919AABB">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2827ECF6">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37E3CC54">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75651E4E">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5D1BE2C3">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24A20BAC">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1ADBF499">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5AB9552D">
            <w:pPr>
              <w:widowControl/>
              <w:jc w:val="center"/>
              <w:rPr>
                <w:rFonts w:ascii="Times New Roman" w:hAnsi="Times New Roman" w:eastAsia="仿宋_GB2312"/>
                <w:color w:val="000000"/>
                <w:kern w:val="0"/>
                <w:szCs w:val="21"/>
              </w:rPr>
            </w:pPr>
            <w:r>
              <w:rPr>
                <w:rFonts w:hint="eastAsia" w:hAnsi="宋体"/>
                <w:kern w:val="0"/>
                <w:sz w:val="20"/>
                <w:szCs w:val="20"/>
              </w:rPr>
              <w:t>公共租赁住房维护和管理支出</w:t>
            </w:r>
            <w:r>
              <w:rPr>
                <w:rFonts w:ascii="Times New Roman" w:hAnsi="Times New Roman" w:eastAsia="仿宋_GB2312"/>
                <w:color w:val="000000"/>
                <w:kern w:val="0"/>
                <w:szCs w:val="21"/>
              </w:rPr>
              <w:t>　</w:t>
            </w:r>
          </w:p>
        </w:tc>
      </w:tr>
      <w:tr w14:paraId="5B54AD8F">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1A17CE6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26F46420">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Cs w:val="21"/>
                <w:lang w:eastAsia="zh-CN"/>
              </w:rPr>
              <w:t>衡阳市住房和城乡建设局</w:t>
            </w:r>
            <w:r>
              <w:rPr>
                <w:rFonts w:hint="eastAsia" w:ascii="Times New Roman" w:hAnsi="Times New Roman"/>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7FBE82B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7DE311F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Cs w:val="21"/>
                <w:lang w:eastAsia="zh-CN"/>
              </w:rPr>
              <w:t>衡阳市住房保障服务中心</w:t>
            </w:r>
          </w:p>
        </w:tc>
      </w:tr>
      <w:tr w14:paraId="5AD8CFDF">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6344BC4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130" w:type="dxa"/>
            <w:gridSpan w:val="2"/>
            <w:tcBorders>
              <w:top w:val="nil"/>
              <w:left w:val="nil"/>
              <w:bottom w:val="single" w:color="auto" w:sz="4" w:space="0"/>
              <w:right w:val="single" w:color="auto" w:sz="4" w:space="0"/>
            </w:tcBorders>
            <w:shd w:val="clear" w:color="auto" w:fill="auto"/>
            <w:noWrap/>
            <w:vAlign w:val="center"/>
          </w:tcPr>
          <w:p w14:paraId="5C67742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278" w:type="dxa"/>
            <w:tcBorders>
              <w:top w:val="nil"/>
              <w:left w:val="nil"/>
              <w:bottom w:val="single" w:color="auto" w:sz="4" w:space="0"/>
              <w:right w:val="single" w:color="auto" w:sz="4" w:space="0"/>
            </w:tcBorders>
            <w:shd w:val="clear" w:color="auto" w:fill="auto"/>
            <w:noWrap/>
            <w:vAlign w:val="center"/>
          </w:tcPr>
          <w:p w14:paraId="508CAD2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63A773E6">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230" w:type="dxa"/>
            <w:tcBorders>
              <w:top w:val="nil"/>
              <w:left w:val="nil"/>
              <w:bottom w:val="single" w:color="auto" w:sz="4" w:space="0"/>
              <w:right w:val="single" w:color="auto" w:sz="4" w:space="0"/>
            </w:tcBorders>
            <w:shd w:val="clear" w:color="auto" w:fill="auto"/>
            <w:noWrap/>
            <w:vAlign w:val="center"/>
          </w:tcPr>
          <w:p w14:paraId="1E727950">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615268E8">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0699FB86">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276F83EB">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885" w:type="dxa"/>
            <w:tcBorders>
              <w:top w:val="nil"/>
              <w:left w:val="nil"/>
              <w:bottom w:val="single" w:color="auto" w:sz="4" w:space="0"/>
              <w:right w:val="single" w:color="auto" w:sz="4" w:space="0"/>
            </w:tcBorders>
            <w:shd w:val="clear" w:color="auto" w:fill="auto"/>
            <w:noWrap/>
          </w:tcPr>
          <w:p w14:paraId="5253B34B">
            <w:pPr>
              <w:spacing w:line="240" w:lineRule="exact"/>
              <w:jc w:val="center"/>
              <w:rPr>
                <w:rFonts w:ascii="Times New Roman" w:hAnsi="Times New Roman" w:eastAsia="仿宋_GB2312"/>
                <w:szCs w:val="21"/>
              </w:rPr>
            </w:pPr>
          </w:p>
          <w:p w14:paraId="4D9533DF">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3" w:type="dxa"/>
            <w:tcBorders>
              <w:top w:val="nil"/>
              <w:left w:val="nil"/>
              <w:bottom w:val="single" w:color="auto" w:sz="4" w:space="0"/>
              <w:right w:val="single" w:color="auto" w:sz="4" w:space="0"/>
            </w:tcBorders>
            <w:shd w:val="clear" w:color="auto" w:fill="auto"/>
            <w:noWrap/>
          </w:tcPr>
          <w:p w14:paraId="7B1FE18B">
            <w:pPr>
              <w:spacing w:line="240" w:lineRule="exact"/>
              <w:jc w:val="center"/>
              <w:rPr>
                <w:rFonts w:ascii="Times New Roman" w:hAnsi="Times New Roman" w:eastAsia="仿宋_GB2312"/>
                <w:szCs w:val="21"/>
              </w:rPr>
            </w:pPr>
          </w:p>
          <w:p w14:paraId="2F8B3D8A">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43B93662">
            <w:pPr>
              <w:spacing w:line="240" w:lineRule="exact"/>
              <w:jc w:val="center"/>
              <w:rPr>
                <w:rFonts w:ascii="Times New Roman" w:hAnsi="Times New Roman" w:eastAsia="仿宋_GB2312"/>
                <w:szCs w:val="21"/>
              </w:rPr>
            </w:pPr>
          </w:p>
          <w:p w14:paraId="7169D42C">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15FC7934">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25529DD4">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3EE5A34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278" w:type="dxa"/>
            <w:tcBorders>
              <w:top w:val="nil"/>
              <w:left w:val="nil"/>
              <w:bottom w:val="single" w:color="auto" w:sz="4" w:space="0"/>
              <w:right w:val="single" w:color="auto" w:sz="4" w:space="0"/>
            </w:tcBorders>
            <w:shd w:val="clear" w:color="auto" w:fill="auto"/>
            <w:noWrap/>
            <w:vAlign w:val="center"/>
          </w:tcPr>
          <w:p w14:paraId="7782351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99</w:t>
            </w:r>
          </w:p>
        </w:tc>
        <w:tc>
          <w:tcPr>
            <w:tcW w:w="1230" w:type="dxa"/>
            <w:tcBorders>
              <w:top w:val="nil"/>
              <w:left w:val="nil"/>
              <w:bottom w:val="single" w:color="auto" w:sz="4" w:space="0"/>
              <w:right w:val="single" w:color="auto" w:sz="4" w:space="0"/>
            </w:tcBorders>
            <w:shd w:val="clear" w:color="auto" w:fill="auto"/>
            <w:noWrap/>
            <w:vAlign w:val="center"/>
          </w:tcPr>
          <w:p w14:paraId="1DB682CD">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99</w:t>
            </w:r>
          </w:p>
        </w:tc>
        <w:tc>
          <w:tcPr>
            <w:tcW w:w="1107" w:type="dxa"/>
            <w:tcBorders>
              <w:top w:val="nil"/>
              <w:left w:val="nil"/>
              <w:bottom w:val="single" w:color="auto" w:sz="4" w:space="0"/>
              <w:right w:val="single" w:color="auto" w:sz="4" w:space="0"/>
            </w:tcBorders>
            <w:shd w:val="clear" w:color="auto" w:fill="auto"/>
            <w:noWrap/>
            <w:vAlign w:val="center"/>
          </w:tcPr>
          <w:p w14:paraId="4D7E76A5">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91.25</w:t>
            </w:r>
          </w:p>
        </w:tc>
        <w:tc>
          <w:tcPr>
            <w:tcW w:w="885" w:type="dxa"/>
            <w:tcBorders>
              <w:top w:val="nil"/>
              <w:left w:val="nil"/>
              <w:bottom w:val="single" w:color="auto" w:sz="4" w:space="0"/>
              <w:right w:val="single" w:color="auto" w:sz="4" w:space="0"/>
            </w:tcBorders>
            <w:shd w:val="clear" w:color="auto" w:fill="auto"/>
            <w:noWrap/>
            <w:vAlign w:val="center"/>
          </w:tcPr>
          <w:p w14:paraId="45FC634B">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963" w:type="dxa"/>
            <w:tcBorders>
              <w:top w:val="nil"/>
              <w:left w:val="nil"/>
              <w:bottom w:val="single" w:color="auto" w:sz="4" w:space="0"/>
              <w:right w:val="single" w:color="auto" w:sz="4" w:space="0"/>
            </w:tcBorders>
            <w:shd w:val="clear" w:color="auto" w:fill="auto"/>
            <w:noWrap/>
            <w:vAlign w:val="center"/>
          </w:tcPr>
          <w:p w14:paraId="47C67142">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92.17%</w:t>
            </w:r>
          </w:p>
        </w:tc>
        <w:tc>
          <w:tcPr>
            <w:tcW w:w="1271" w:type="dxa"/>
            <w:tcBorders>
              <w:top w:val="nil"/>
              <w:left w:val="nil"/>
              <w:bottom w:val="single" w:color="auto" w:sz="4" w:space="0"/>
              <w:right w:val="single" w:color="auto" w:sz="4" w:space="0"/>
            </w:tcBorders>
            <w:shd w:val="clear" w:color="auto" w:fill="auto"/>
            <w:noWrap/>
            <w:vAlign w:val="center"/>
          </w:tcPr>
          <w:p w14:paraId="61333F2B">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9.2</w:t>
            </w:r>
          </w:p>
        </w:tc>
      </w:tr>
      <w:tr w14:paraId="7BBD2FBC">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11B1112">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5F8D34B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278" w:type="dxa"/>
            <w:tcBorders>
              <w:top w:val="nil"/>
              <w:left w:val="nil"/>
              <w:bottom w:val="single" w:color="auto" w:sz="4" w:space="0"/>
              <w:right w:val="single" w:color="auto" w:sz="4" w:space="0"/>
            </w:tcBorders>
            <w:shd w:val="clear" w:color="auto" w:fill="auto"/>
            <w:noWrap/>
            <w:vAlign w:val="center"/>
          </w:tcPr>
          <w:p w14:paraId="59F6CADE">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99</w:t>
            </w:r>
          </w:p>
        </w:tc>
        <w:tc>
          <w:tcPr>
            <w:tcW w:w="1230" w:type="dxa"/>
            <w:tcBorders>
              <w:top w:val="nil"/>
              <w:left w:val="nil"/>
              <w:bottom w:val="single" w:color="auto" w:sz="4" w:space="0"/>
              <w:right w:val="single" w:color="auto" w:sz="4" w:space="0"/>
            </w:tcBorders>
            <w:shd w:val="clear" w:color="auto" w:fill="auto"/>
            <w:noWrap/>
            <w:vAlign w:val="center"/>
          </w:tcPr>
          <w:p w14:paraId="742DEE75">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99</w:t>
            </w:r>
          </w:p>
        </w:tc>
        <w:tc>
          <w:tcPr>
            <w:tcW w:w="1107" w:type="dxa"/>
            <w:tcBorders>
              <w:top w:val="nil"/>
              <w:left w:val="nil"/>
              <w:bottom w:val="single" w:color="auto" w:sz="4" w:space="0"/>
              <w:right w:val="single" w:color="auto" w:sz="4" w:space="0"/>
            </w:tcBorders>
            <w:shd w:val="clear" w:color="auto" w:fill="auto"/>
            <w:noWrap/>
            <w:vAlign w:val="center"/>
          </w:tcPr>
          <w:p w14:paraId="5E6F2849">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91.25</w:t>
            </w:r>
          </w:p>
        </w:tc>
        <w:tc>
          <w:tcPr>
            <w:tcW w:w="885" w:type="dxa"/>
            <w:tcBorders>
              <w:top w:val="nil"/>
              <w:left w:val="nil"/>
              <w:bottom w:val="single" w:color="auto" w:sz="4" w:space="0"/>
              <w:right w:val="single" w:color="auto" w:sz="4" w:space="0"/>
            </w:tcBorders>
            <w:shd w:val="clear" w:color="auto" w:fill="auto"/>
            <w:noWrap/>
            <w:vAlign w:val="center"/>
          </w:tcPr>
          <w:p w14:paraId="53882A8C">
            <w:pPr>
              <w:widowControl/>
              <w:jc w:val="center"/>
              <w:rPr>
                <w:rFonts w:ascii="Times New Roman" w:hAnsi="Times New Roman" w:eastAsia="仿宋_GB2312" w:cs="Times New Roman"/>
                <w:color w:val="000000"/>
                <w:kern w:val="0"/>
                <w:sz w:val="21"/>
                <w:szCs w:val="21"/>
                <w:lang w:val="en-US" w:eastAsia="zh-CN" w:bidi="ar-SA"/>
              </w:rPr>
            </w:pPr>
          </w:p>
        </w:tc>
        <w:tc>
          <w:tcPr>
            <w:tcW w:w="963" w:type="dxa"/>
            <w:tcBorders>
              <w:top w:val="nil"/>
              <w:left w:val="nil"/>
              <w:bottom w:val="single" w:color="auto" w:sz="4" w:space="0"/>
              <w:right w:val="single" w:color="auto" w:sz="4" w:space="0"/>
            </w:tcBorders>
            <w:shd w:val="clear" w:color="auto" w:fill="auto"/>
            <w:noWrap/>
            <w:vAlign w:val="center"/>
          </w:tcPr>
          <w:p w14:paraId="3A34C307">
            <w:pPr>
              <w:widowControl/>
              <w:jc w:val="center"/>
              <w:rPr>
                <w:rFonts w:hint="default" w:ascii="Times New Roman" w:hAnsi="Times New Roman" w:eastAsia="仿宋_GB2312" w:cs="Times New Roman"/>
                <w:color w:val="000000"/>
                <w:kern w:val="0"/>
                <w:sz w:val="21"/>
                <w:szCs w:val="21"/>
                <w:lang w:val="en-US" w:eastAsia="zh-CN" w:bidi="ar-SA"/>
              </w:rPr>
            </w:pPr>
          </w:p>
        </w:tc>
        <w:tc>
          <w:tcPr>
            <w:tcW w:w="1271" w:type="dxa"/>
            <w:tcBorders>
              <w:top w:val="nil"/>
              <w:left w:val="nil"/>
              <w:bottom w:val="single" w:color="auto" w:sz="4" w:space="0"/>
              <w:right w:val="single" w:color="auto" w:sz="4" w:space="0"/>
            </w:tcBorders>
            <w:shd w:val="clear" w:color="auto" w:fill="auto"/>
            <w:noWrap/>
            <w:vAlign w:val="center"/>
          </w:tcPr>
          <w:p w14:paraId="35C8EF81">
            <w:pPr>
              <w:widowControl/>
              <w:jc w:val="center"/>
              <w:rPr>
                <w:rFonts w:ascii="Times New Roman" w:hAnsi="Times New Roman" w:eastAsia="仿宋_GB2312" w:cs="Times New Roman"/>
                <w:color w:val="000000"/>
                <w:kern w:val="0"/>
                <w:sz w:val="21"/>
                <w:szCs w:val="21"/>
                <w:lang w:val="en-US" w:eastAsia="zh-CN" w:bidi="ar-SA"/>
              </w:rPr>
            </w:pPr>
          </w:p>
        </w:tc>
      </w:tr>
      <w:tr w14:paraId="27F73DD8">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3FA687F">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38D15E2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278" w:type="dxa"/>
            <w:tcBorders>
              <w:top w:val="nil"/>
              <w:left w:val="nil"/>
              <w:bottom w:val="single" w:color="auto" w:sz="4" w:space="0"/>
              <w:right w:val="single" w:color="auto" w:sz="4" w:space="0"/>
            </w:tcBorders>
            <w:shd w:val="clear" w:color="auto" w:fill="auto"/>
            <w:noWrap/>
            <w:vAlign w:val="center"/>
          </w:tcPr>
          <w:p w14:paraId="28BA2EF9">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7D5F2171">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248685E8">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885" w:type="dxa"/>
            <w:tcBorders>
              <w:top w:val="nil"/>
              <w:left w:val="nil"/>
              <w:bottom w:val="single" w:color="auto" w:sz="4" w:space="0"/>
              <w:right w:val="single" w:color="auto" w:sz="4" w:space="0"/>
            </w:tcBorders>
            <w:shd w:val="clear" w:color="auto" w:fill="auto"/>
            <w:noWrap/>
            <w:vAlign w:val="center"/>
          </w:tcPr>
          <w:p w14:paraId="6CBA397F">
            <w:pPr>
              <w:widowControl/>
              <w:jc w:val="center"/>
              <w:rPr>
                <w:rFonts w:ascii="Times New Roman" w:hAnsi="Times New Roman" w:eastAsia="仿宋_GB2312"/>
                <w:color w:val="000000"/>
                <w:kern w:val="0"/>
                <w:szCs w:val="21"/>
              </w:rPr>
            </w:pPr>
          </w:p>
        </w:tc>
        <w:tc>
          <w:tcPr>
            <w:tcW w:w="963" w:type="dxa"/>
            <w:tcBorders>
              <w:top w:val="nil"/>
              <w:left w:val="nil"/>
              <w:bottom w:val="single" w:color="auto" w:sz="4" w:space="0"/>
              <w:right w:val="single" w:color="auto" w:sz="4" w:space="0"/>
            </w:tcBorders>
            <w:shd w:val="clear" w:color="auto" w:fill="auto"/>
            <w:noWrap/>
            <w:vAlign w:val="center"/>
          </w:tcPr>
          <w:p w14:paraId="28E06841">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76C77E74">
            <w:pPr>
              <w:widowControl/>
              <w:jc w:val="center"/>
              <w:rPr>
                <w:rFonts w:ascii="Times New Roman" w:hAnsi="Times New Roman" w:eastAsia="仿宋_GB2312"/>
                <w:color w:val="000000"/>
                <w:kern w:val="0"/>
                <w:szCs w:val="21"/>
              </w:rPr>
            </w:pPr>
          </w:p>
        </w:tc>
      </w:tr>
      <w:tr w14:paraId="7F1BE7CA">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618B9BDB">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5EB06538">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278" w:type="dxa"/>
            <w:tcBorders>
              <w:top w:val="nil"/>
              <w:left w:val="nil"/>
              <w:bottom w:val="single" w:color="auto" w:sz="4" w:space="0"/>
              <w:right w:val="single" w:color="auto" w:sz="4" w:space="0"/>
            </w:tcBorders>
            <w:shd w:val="clear" w:color="auto" w:fill="auto"/>
            <w:noWrap/>
            <w:vAlign w:val="center"/>
          </w:tcPr>
          <w:p w14:paraId="2C589143">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0</w:t>
            </w:r>
          </w:p>
        </w:tc>
        <w:tc>
          <w:tcPr>
            <w:tcW w:w="1230" w:type="dxa"/>
            <w:tcBorders>
              <w:top w:val="nil"/>
              <w:left w:val="nil"/>
              <w:bottom w:val="single" w:color="auto" w:sz="4" w:space="0"/>
              <w:right w:val="single" w:color="auto" w:sz="4" w:space="0"/>
            </w:tcBorders>
            <w:shd w:val="clear" w:color="auto" w:fill="auto"/>
            <w:noWrap/>
            <w:vAlign w:val="center"/>
          </w:tcPr>
          <w:p w14:paraId="0DA79C05">
            <w:pPr>
              <w:widowControl/>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2A42C356">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0</w:t>
            </w:r>
          </w:p>
        </w:tc>
        <w:tc>
          <w:tcPr>
            <w:tcW w:w="885" w:type="dxa"/>
            <w:tcBorders>
              <w:top w:val="nil"/>
              <w:left w:val="nil"/>
              <w:bottom w:val="single" w:color="auto" w:sz="4" w:space="0"/>
              <w:right w:val="single" w:color="auto" w:sz="4" w:space="0"/>
            </w:tcBorders>
            <w:shd w:val="clear" w:color="auto" w:fill="auto"/>
            <w:noWrap/>
            <w:vAlign w:val="center"/>
          </w:tcPr>
          <w:p w14:paraId="091E7E42">
            <w:pPr>
              <w:widowControl/>
              <w:jc w:val="center"/>
              <w:rPr>
                <w:rFonts w:ascii="Times New Roman" w:hAnsi="Times New Roman" w:eastAsia="仿宋_GB2312"/>
                <w:color w:val="000000"/>
                <w:kern w:val="0"/>
                <w:szCs w:val="21"/>
              </w:rPr>
            </w:pPr>
          </w:p>
        </w:tc>
        <w:tc>
          <w:tcPr>
            <w:tcW w:w="963" w:type="dxa"/>
            <w:tcBorders>
              <w:top w:val="nil"/>
              <w:left w:val="nil"/>
              <w:bottom w:val="single" w:color="auto" w:sz="4" w:space="0"/>
              <w:right w:val="single" w:color="auto" w:sz="4" w:space="0"/>
            </w:tcBorders>
            <w:shd w:val="clear" w:color="auto" w:fill="auto"/>
            <w:noWrap/>
            <w:vAlign w:val="center"/>
          </w:tcPr>
          <w:p w14:paraId="194B6E98">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29E7B311">
            <w:pPr>
              <w:widowControl/>
              <w:jc w:val="center"/>
              <w:rPr>
                <w:rFonts w:ascii="Times New Roman" w:hAnsi="Times New Roman" w:eastAsia="仿宋_GB2312"/>
                <w:color w:val="000000"/>
                <w:kern w:val="0"/>
                <w:szCs w:val="21"/>
              </w:rPr>
            </w:pPr>
          </w:p>
        </w:tc>
      </w:tr>
      <w:tr w14:paraId="6AAF5AE0">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5499189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7A8FD3D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5758A66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2A0B08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222C099">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5A05C5B0">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1BD15930">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公租房运营维修优化升级。按照“精致管理、精细建设、精美小区”的要求，持续加大对公租房配套基础设施建设和房屋修缮的投入。抓好公租房分配管理。</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63B8C339">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公租房管理日趋规范，保障能力持续增强，人居环境质量不断提升。督促城区1859套房源摇号分配到位，全年累计发放保障性住房租赁补贴2694户，金额133.88万元</w:t>
            </w:r>
            <w:r>
              <w:rPr>
                <w:rFonts w:hint="eastAsia" w:ascii="Times New Roman" w:hAnsi="Times New Roman" w:eastAsia="仿宋_GB2312"/>
                <w:color w:val="000000"/>
                <w:kern w:val="0"/>
                <w:szCs w:val="21"/>
                <w:lang w:eastAsia="zh-CN"/>
              </w:rPr>
              <w:t>。</w:t>
            </w:r>
          </w:p>
        </w:tc>
      </w:tr>
      <w:tr w14:paraId="332B8072">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08F6B23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3F03B38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4CB577B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7BEBD8D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6E928C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69C64A4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1D6F587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2F1D249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0FA9682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592AE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5B04CC59">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5E19CA4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4A20FEA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CD1C25C">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258936D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2224FB26">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074D0EA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DE41819">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489A87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382A883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92C7654">
            <w:pPr>
              <w:widowControl/>
              <w:jc w:val="center"/>
              <w:rPr>
                <w:rFonts w:ascii="Times New Roman" w:hAnsi="Times New Roman" w:eastAsia="仿宋_GB2312"/>
                <w:color w:val="000000"/>
                <w:kern w:val="0"/>
                <w:szCs w:val="21"/>
              </w:rPr>
            </w:pPr>
          </w:p>
          <w:p w14:paraId="327B786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138" w:type="dxa"/>
            <w:vMerge w:val="restart"/>
            <w:tcBorders>
              <w:top w:val="single" w:color="auto" w:sz="4" w:space="0"/>
              <w:left w:val="nil"/>
              <w:bottom w:val="single" w:color="auto" w:sz="4" w:space="0"/>
              <w:right w:val="single" w:color="auto" w:sz="4" w:space="0"/>
            </w:tcBorders>
            <w:shd w:val="clear" w:color="auto" w:fill="auto"/>
            <w:noWrap/>
            <w:vAlign w:val="center"/>
          </w:tcPr>
          <w:p w14:paraId="4BCE02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221351BE">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rPr>
              <w:t>发放租赁补贴</w:t>
            </w:r>
            <w:r>
              <w:rPr>
                <w:rFonts w:hint="eastAsia" w:ascii="Times New Roman" w:hAnsi="Times New Roman" w:eastAsia="仿宋_GB2312"/>
                <w:color w:val="000000"/>
                <w:kern w:val="0"/>
                <w:szCs w:val="21"/>
                <w:lang w:eastAsia="zh-CN"/>
              </w:rPr>
              <w:t>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326DD719">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51193A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095DABBD">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293206F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5EEBF2">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9D44D5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067B9E14">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37858F0C">
            <w:pPr>
              <w:jc w:val="left"/>
              <w:rPr>
                <w:rFonts w:ascii="Times New Roman" w:hAnsi="Times New Roman" w:eastAsia="仿宋_GB2312"/>
                <w:color w:val="000000"/>
                <w:kern w:val="0"/>
                <w:szCs w:val="21"/>
              </w:rPr>
            </w:pPr>
          </w:p>
        </w:tc>
        <w:tc>
          <w:tcPr>
            <w:tcW w:w="1138" w:type="dxa"/>
            <w:vMerge w:val="continue"/>
            <w:tcBorders>
              <w:top w:val="single" w:color="auto" w:sz="4" w:space="0"/>
              <w:left w:val="nil"/>
              <w:bottom w:val="single" w:color="auto" w:sz="4" w:space="0"/>
              <w:right w:val="single" w:color="auto" w:sz="4" w:space="0"/>
            </w:tcBorders>
            <w:shd w:val="clear" w:color="auto" w:fill="auto"/>
            <w:noWrap/>
            <w:vAlign w:val="center"/>
          </w:tcPr>
          <w:p w14:paraId="56C962B0">
            <w:pPr>
              <w:widowControl/>
              <w:jc w:val="center"/>
              <w:rPr>
                <w:rFonts w:ascii="Times New Roman" w:hAnsi="Times New Roman" w:eastAsia="仿宋_GB2312"/>
                <w:color w:val="000000"/>
                <w:kern w:val="0"/>
                <w:szCs w:val="21"/>
              </w:rPr>
            </w:pP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30BFAB3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保障性住房修缮完成率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4BAC9AD">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CDBEEA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1065F8D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2A27F6CC">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B25676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DB716F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1FE7A6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2F555908">
            <w:pPr>
              <w:jc w:val="left"/>
              <w:rPr>
                <w:rFonts w:ascii="Times New Roman" w:hAnsi="Times New Roman" w:eastAsia="仿宋_GB2312"/>
                <w:color w:val="000000"/>
                <w:kern w:val="0"/>
                <w:szCs w:val="21"/>
              </w:rPr>
            </w:pP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4A5FA8F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02D4FF2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公租房分配</w:t>
            </w:r>
            <w:r>
              <w:rPr>
                <w:rFonts w:hint="eastAsia" w:ascii="宋体" w:hAnsi="宋体" w:eastAsia="宋体" w:cs="宋体"/>
                <w:color w:val="000000"/>
                <w:kern w:val="0"/>
                <w:sz w:val="18"/>
                <w:szCs w:val="18"/>
                <w:lang w:eastAsia="zh-CN"/>
              </w:rPr>
              <w:t>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64D84A5">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≥98%</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5BA946DC">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7CAD38E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50AAD91D">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BDFE8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A1CF252">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9E665EE">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50E44AD">
            <w:pPr>
              <w:jc w:val="left"/>
              <w:rPr>
                <w:rFonts w:ascii="Times New Roman" w:hAnsi="Times New Roman" w:eastAsia="仿宋_GB2312"/>
                <w:color w:val="000000"/>
                <w:kern w:val="0"/>
                <w:szCs w:val="21"/>
              </w:rPr>
            </w:pPr>
          </w:p>
        </w:tc>
        <w:tc>
          <w:tcPr>
            <w:tcW w:w="1138" w:type="dxa"/>
            <w:vMerge w:val="restart"/>
            <w:tcBorders>
              <w:top w:val="single" w:color="auto" w:sz="4" w:space="0"/>
              <w:left w:val="nil"/>
              <w:bottom w:val="single" w:color="auto" w:sz="4" w:space="0"/>
              <w:right w:val="single" w:color="auto" w:sz="4" w:space="0"/>
            </w:tcBorders>
            <w:shd w:val="clear" w:color="auto" w:fill="auto"/>
            <w:noWrap/>
            <w:vAlign w:val="center"/>
          </w:tcPr>
          <w:p w14:paraId="0707176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时效指标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334515E9">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保障性住房修缮及时性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B5E0290">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29D97746">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及时</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3FB98F91">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56286D6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E3AB2F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FDCF1B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6F2E6F7">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F2CA149">
            <w:pPr>
              <w:jc w:val="left"/>
              <w:rPr>
                <w:rFonts w:ascii="Times New Roman" w:hAnsi="Times New Roman" w:eastAsia="仿宋_GB2312"/>
                <w:color w:val="000000"/>
                <w:kern w:val="0"/>
                <w:szCs w:val="21"/>
              </w:rPr>
            </w:pPr>
          </w:p>
        </w:tc>
        <w:tc>
          <w:tcPr>
            <w:tcW w:w="1138" w:type="dxa"/>
            <w:vMerge w:val="continue"/>
            <w:tcBorders>
              <w:top w:val="single" w:color="auto" w:sz="4" w:space="0"/>
              <w:left w:val="nil"/>
              <w:bottom w:val="single" w:color="auto" w:sz="4" w:space="0"/>
              <w:right w:val="single" w:color="auto" w:sz="4" w:space="0"/>
            </w:tcBorders>
            <w:shd w:val="clear" w:color="auto" w:fill="auto"/>
            <w:noWrap/>
            <w:vAlign w:val="center"/>
          </w:tcPr>
          <w:p w14:paraId="037C4DAA">
            <w:pPr>
              <w:widowControl/>
              <w:jc w:val="center"/>
              <w:rPr>
                <w:rFonts w:ascii="Times New Roman" w:hAnsi="Times New Roman" w:eastAsia="仿宋_GB2312"/>
                <w:color w:val="000000"/>
                <w:kern w:val="0"/>
                <w:szCs w:val="21"/>
              </w:rPr>
            </w:pP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131349E1">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住户咨询回复及时性</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7D0C340">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及时</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76B99A22">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及时</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2A4BDB2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0E08AEA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CBA97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E95215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C09663A">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6AC8F1F0">
            <w:pPr>
              <w:jc w:val="left"/>
              <w:rPr>
                <w:rFonts w:ascii="Times New Roman" w:hAnsi="Times New Roman" w:eastAsia="仿宋_GB2312"/>
                <w:color w:val="000000"/>
                <w:kern w:val="0"/>
                <w:szCs w:val="21"/>
              </w:rPr>
            </w:pP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34C56D6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成本指标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6D1AD83D">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成本控制率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029715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100</w:t>
            </w:r>
            <w:r>
              <w:rPr>
                <w:rFonts w:hint="eastAsia" w:ascii="宋体" w:hAnsi="宋体" w:eastAsia="宋体" w:cs="宋体"/>
                <w:color w:val="000000"/>
                <w:kern w:val="0"/>
                <w:sz w:val="18"/>
                <w:szCs w:val="18"/>
                <w:lang w:val="en-US" w:eastAsia="zh-CN"/>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87981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7EB63B0D">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65BDAB8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3E9AE9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7933B82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32EF083">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B2F9E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4FB3A0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1B27496">
            <w:pPr>
              <w:widowControl/>
              <w:jc w:val="left"/>
              <w:rPr>
                <w:rFonts w:ascii="Times New Roman" w:hAnsi="Times New Roman" w:eastAsia="仿宋_GB2312"/>
                <w:color w:val="000000"/>
                <w:kern w:val="0"/>
                <w:szCs w:val="21"/>
              </w:rPr>
            </w:pPr>
          </w:p>
          <w:p w14:paraId="307A385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2ECA2389">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288F7A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经济效</w:t>
            </w:r>
          </w:p>
          <w:p w14:paraId="145059C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2297F3C9">
            <w:pPr>
              <w:widowControl/>
              <w:jc w:val="left"/>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租金缴存率</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551B22ED">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≥9</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4AAC0C1">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683D6F8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3717BB25">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DAC2D5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F4B304F">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4EF91D8C">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000B074">
            <w:pPr>
              <w:jc w:val="left"/>
              <w:rPr>
                <w:rFonts w:ascii="Times New Roman" w:hAnsi="Times New Roman" w:eastAsia="仿宋_GB2312"/>
                <w:color w:val="000000"/>
                <w:kern w:val="0"/>
                <w:szCs w:val="21"/>
              </w:rPr>
            </w:pP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2DF918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社会效</w:t>
            </w:r>
          </w:p>
          <w:p w14:paraId="4153791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益指标</w:t>
            </w:r>
          </w:p>
        </w:tc>
        <w:tc>
          <w:tcPr>
            <w:tcW w:w="1278" w:type="dxa"/>
            <w:tcBorders>
              <w:top w:val="single" w:color="auto" w:sz="4" w:space="0"/>
              <w:left w:val="nil"/>
              <w:bottom w:val="single" w:color="auto" w:sz="4" w:space="0"/>
              <w:right w:val="single" w:color="auto" w:sz="4" w:space="0"/>
            </w:tcBorders>
            <w:shd w:val="clear" w:color="auto" w:fill="auto"/>
            <w:noWrap/>
            <w:vAlign w:val="center"/>
          </w:tcPr>
          <w:p w14:paraId="4D26FB26">
            <w:pPr>
              <w:widowControl/>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保障性住房平安小区</w:t>
            </w:r>
          </w:p>
        </w:tc>
        <w:tc>
          <w:tcPr>
            <w:tcW w:w="1230" w:type="dxa"/>
            <w:tcBorders>
              <w:top w:val="single" w:color="auto" w:sz="4" w:space="0"/>
              <w:left w:val="nil"/>
              <w:bottom w:val="single" w:color="auto" w:sz="4" w:space="0"/>
              <w:right w:val="single" w:color="auto" w:sz="4" w:space="0"/>
            </w:tcBorders>
            <w:shd w:val="clear" w:color="auto" w:fill="auto"/>
            <w:noWrap/>
            <w:vAlign w:val="center"/>
          </w:tcPr>
          <w:p w14:paraId="7950FCF7">
            <w:pPr>
              <w:widowControl/>
              <w:jc w:val="center"/>
              <w:rPr>
                <w:rFonts w:hint="eastAsia" w:ascii="Times New Roman" w:hAnsi="Times New Roman" w:eastAsia="仿宋_GB2312"/>
                <w:color w:val="000000"/>
                <w:kern w:val="0"/>
                <w:szCs w:val="21"/>
                <w:lang w:eastAsia="zh-CN"/>
              </w:rPr>
            </w:pPr>
            <w:r>
              <w:rPr>
                <w:rFonts w:hint="eastAsia" w:ascii="Times New Roman" w:hAnsi="Times New Roman" w:eastAsia="仿宋_GB2312"/>
                <w:color w:val="000000"/>
                <w:kern w:val="0"/>
                <w:szCs w:val="21"/>
                <w:lang w:eastAsia="zh-CN"/>
              </w:rPr>
              <w:t>无安全事故</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F19945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eastAsia="zh-CN"/>
              </w:rPr>
              <w:t>无安全事故</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61B9E75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B73ED6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1D992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794EC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02E3633">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4C1A523">
            <w:pPr>
              <w:widowControl/>
              <w:jc w:val="left"/>
              <w:rPr>
                <w:rFonts w:ascii="Times New Roman" w:hAnsi="Times New Roman" w:eastAsia="仿宋_GB2312"/>
                <w:color w:val="000000"/>
                <w:kern w:val="0"/>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8C07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可持续影响指标</w:t>
            </w:r>
          </w:p>
        </w:tc>
        <w:tc>
          <w:tcPr>
            <w:tcW w:w="12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86D23A">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保障</w:t>
            </w:r>
            <w:r>
              <w:rPr>
                <w:rFonts w:hint="eastAsia" w:ascii="宋体" w:hAnsi="宋体" w:eastAsia="宋体" w:cs="宋体"/>
                <w:color w:val="000000"/>
                <w:kern w:val="0"/>
                <w:sz w:val="18"/>
                <w:szCs w:val="18"/>
                <w:lang w:eastAsia="zh-CN"/>
              </w:rPr>
              <w:t>性</w:t>
            </w:r>
            <w:r>
              <w:rPr>
                <w:rFonts w:hint="eastAsia" w:ascii="宋体" w:hAnsi="宋体" w:eastAsia="宋体" w:cs="宋体"/>
                <w:color w:val="000000"/>
                <w:kern w:val="0"/>
                <w:sz w:val="18"/>
                <w:szCs w:val="18"/>
              </w:rPr>
              <w:t>住房人居环境</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CAEA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持续提升</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941B59">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不断提升</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EA09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9D6C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24749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2B17373F">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589B6444">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2AD34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347CF4D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116736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8BFB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服务对象满意度指标</w:t>
            </w:r>
          </w:p>
        </w:tc>
        <w:tc>
          <w:tcPr>
            <w:tcW w:w="12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A57F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服务对象满意度</w:t>
            </w:r>
          </w:p>
        </w:tc>
        <w:tc>
          <w:tcPr>
            <w:tcW w:w="1230" w:type="dxa"/>
            <w:tcBorders>
              <w:top w:val="nil"/>
              <w:left w:val="nil"/>
              <w:bottom w:val="single" w:color="auto" w:sz="4" w:space="0"/>
              <w:right w:val="single" w:color="auto" w:sz="4" w:space="0"/>
            </w:tcBorders>
            <w:shd w:val="clear" w:color="auto" w:fill="auto"/>
            <w:noWrap/>
            <w:vAlign w:val="center"/>
          </w:tcPr>
          <w:p w14:paraId="287A9A3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≥9</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rPr>
              <w:t>%</w:t>
            </w:r>
          </w:p>
        </w:tc>
        <w:tc>
          <w:tcPr>
            <w:tcW w:w="1107" w:type="dxa"/>
            <w:tcBorders>
              <w:top w:val="nil"/>
              <w:left w:val="nil"/>
              <w:bottom w:val="single" w:color="auto" w:sz="4" w:space="0"/>
              <w:right w:val="single" w:color="auto" w:sz="4" w:space="0"/>
            </w:tcBorders>
            <w:shd w:val="clear" w:color="auto" w:fill="auto"/>
            <w:noWrap/>
            <w:vAlign w:val="center"/>
          </w:tcPr>
          <w:p w14:paraId="08A2A990">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99</w:t>
            </w:r>
            <w:r>
              <w:rPr>
                <w:rFonts w:hint="eastAsia" w:ascii="宋体" w:hAnsi="宋体" w:eastAsia="宋体" w:cs="宋体"/>
                <w:color w:val="000000"/>
                <w:kern w:val="0"/>
                <w:sz w:val="18"/>
                <w:szCs w:val="18"/>
                <w:lang w:val="en-US" w:eastAsia="zh-CN"/>
              </w:rPr>
              <w:t>%</w:t>
            </w:r>
          </w:p>
        </w:tc>
        <w:tc>
          <w:tcPr>
            <w:tcW w:w="885" w:type="dxa"/>
            <w:tcBorders>
              <w:top w:val="nil"/>
              <w:left w:val="nil"/>
              <w:bottom w:val="single" w:color="auto" w:sz="4" w:space="0"/>
              <w:right w:val="single" w:color="auto" w:sz="4" w:space="0"/>
            </w:tcBorders>
            <w:shd w:val="clear" w:color="auto" w:fill="auto"/>
            <w:noWrap/>
            <w:vAlign w:val="center"/>
          </w:tcPr>
          <w:p w14:paraId="3AD1FC49">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nil"/>
              <w:left w:val="nil"/>
              <w:bottom w:val="single" w:color="auto" w:sz="4" w:space="0"/>
              <w:right w:val="single" w:color="auto" w:sz="4" w:space="0"/>
            </w:tcBorders>
            <w:shd w:val="clear" w:color="auto" w:fill="auto"/>
            <w:noWrap/>
            <w:vAlign w:val="center"/>
          </w:tcPr>
          <w:p w14:paraId="29A759B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nil"/>
              <w:left w:val="nil"/>
              <w:bottom w:val="single" w:color="auto" w:sz="4" w:space="0"/>
              <w:right w:val="single" w:color="auto" w:sz="4" w:space="0"/>
            </w:tcBorders>
            <w:shd w:val="clear" w:color="auto" w:fill="auto"/>
            <w:noWrap/>
            <w:vAlign w:val="center"/>
          </w:tcPr>
          <w:p w14:paraId="47B7FEE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0E4DE649">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67788ED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885" w:type="dxa"/>
            <w:tcBorders>
              <w:top w:val="nil"/>
              <w:left w:val="nil"/>
              <w:bottom w:val="single" w:color="auto" w:sz="4" w:space="0"/>
              <w:right w:val="single" w:color="auto" w:sz="4" w:space="0"/>
            </w:tcBorders>
            <w:shd w:val="clear" w:color="auto" w:fill="auto"/>
            <w:noWrap/>
            <w:vAlign w:val="center"/>
          </w:tcPr>
          <w:p w14:paraId="1E321AA5">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10</w:t>
            </w:r>
            <w:r>
              <w:rPr>
                <w:rFonts w:ascii="Times New Roman" w:hAnsi="Times New Roman" w:eastAsia="仿宋_GB2312"/>
                <w:color w:val="000000"/>
                <w:kern w:val="0"/>
                <w:szCs w:val="21"/>
              </w:rPr>
              <w:t>0</w:t>
            </w:r>
          </w:p>
        </w:tc>
        <w:tc>
          <w:tcPr>
            <w:tcW w:w="963" w:type="dxa"/>
            <w:tcBorders>
              <w:top w:val="nil"/>
              <w:left w:val="nil"/>
              <w:bottom w:val="single" w:color="auto" w:sz="4" w:space="0"/>
              <w:right w:val="single" w:color="auto" w:sz="4" w:space="0"/>
            </w:tcBorders>
            <w:shd w:val="clear" w:color="auto" w:fill="auto"/>
            <w:noWrap/>
            <w:vAlign w:val="center"/>
          </w:tcPr>
          <w:p w14:paraId="74E85A5B">
            <w:pPr>
              <w:widowControl/>
              <w:jc w:val="left"/>
              <w:rPr>
                <w:rFonts w:hint="default" w:ascii="Times New Roman" w:hAnsi="Times New Roman" w:eastAsia="仿宋_GB2312"/>
                <w:color w:val="000000"/>
                <w:kern w:val="0"/>
                <w:szCs w:val="21"/>
                <w:lang w:val="en-US"/>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lang w:val="en-US" w:eastAsia="zh-CN"/>
              </w:rPr>
              <w:t>99.2</w:t>
            </w:r>
          </w:p>
        </w:tc>
        <w:tc>
          <w:tcPr>
            <w:tcW w:w="1271" w:type="dxa"/>
            <w:tcBorders>
              <w:top w:val="nil"/>
              <w:left w:val="nil"/>
              <w:bottom w:val="single" w:color="auto" w:sz="4" w:space="0"/>
              <w:right w:val="single" w:color="auto" w:sz="4" w:space="0"/>
            </w:tcBorders>
            <w:shd w:val="clear" w:color="auto" w:fill="auto"/>
            <w:noWrap/>
            <w:vAlign w:val="center"/>
          </w:tcPr>
          <w:p w14:paraId="25E28D1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07A736D6">
      <w:pPr>
        <w:widowControl/>
        <w:jc w:val="left"/>
        <w:rPr>
          <w:rFonts w:ascii="Times New Roman" w:hAnsi="Times New Roman" w:eastAsia="Times New Roman"/>
          <w:kern w:val="0"/>
          <w:sz w:val="22"/>
        </w:rPr>
      </w:pPr>
      <w:r>
        <w:rPr>
          <w:rFonts w:ascii="Times New Roman" w:hAnsi="Times New Roman"/>
          <w:kern w:val="0"/>
          <w:sz w:val="22"/>
        </w:rPr>
        <w:t xml:space="preserve"> </w:t>
      </w:r>
      <w:r>
        <w:rPr>
          <w:rFonts w:ascii="Times New Roman" w:hAnsi="Times New Roman" w:eastAsia="Times New Roman"/>
          <w:kern w:val="0"/>
          <w:sz w:val="22"/>
        </w:rPr>
        <w:t xml:space="preserve">      </w:t>
      </w:r>
    </w:p>
    <w:p w14:paraId="281A88AC">
      <w:pPr>
        <w:widowControl/>
        <w:jc w:val="left"/>
        <w:rPr>
          <w:rFonts w:ascii="Times New Roman" w:hAnsi="Times New Roman" w:eastAsia="Times New Roman"/>
          <w:kern w:val="0"/>
          <w:sz w:val="22"/>
        </w:rPr>
      </w:pPr>
    </w:p>
    <w:p w14:paraId="233CEE72">
      <w:pPr>
        <w:rPr>
          <w:rFonts w:ascii="Times New Roman" w:hAnsi="Times New Roman" w:eastAsia="黑体"/>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3</w:t>
      </w:r>
      <w:r>
        <w:rPr>
          <w:rFonts w:ascii="仿宋_GB2312" w:hAnsi="Times New Roman" w:eastAsia="仿宋_GB2312"/>
          <w:kern w:val="0"/>
          <w:sz w:val="22"/>
        </w:rPr>
        <w:t xml:space="preserve"> </w:t>
      </w:r>
      <w:r>
        <w:rPr>
          <w:rFonts w:ascii="Times New Roman" w:hAnsi="Times New Roman" w:eastAsia="Times New Roman"/>
          <w:kern w:val="0"/>
          <w:sz w:val="22"/>
        </w:rPr>
        <w:t xml:space="preserve"> </w:t>
      </w:r>
    </w:p>
    <w:tbl>
      <w:tblPr>
        <w:tblStyle w:val="3"/>
        <w:tblW w:w="9999" w:type="dxa"/>
        <w:jc w:val="center"/>
        <w:tblLayout w:type="fixed"/>
        <w:tblCellMar>
          <w:top w:w="0" w:type="dxa"/>
          <w:left w:w="108" w:type="dxa"/>
          <w:bottom w:w="0" w:type="dxa"/>
          <w:right w:w="108" w:type="dxa"/>
        </w:tblCellMar>
      </w:tblPr>
      <w:tblGrid>
        <w:gridCol w:w="1135"/>
        <w:gridCol w:w="992"/>
        <w:gridCol w:w="1138"/>
        <w:gridCol w:w="1350"/>
        <w:gridCol w:w="1158"/>
        <w:gridCol w:w="1107"/>
        <w:gridCol w:w="885"/>
        <w:gridCol w:w="963"/>
        <w:gridCol w:w="1271"/>
      </w:tblGrid>
      <w:tr w14:paraId="00094549">
        <w:tblPrEx>
          <w:tblCellMar>
            <w:top w:w="0" w:type="dxa"/>
            <w:left w:w="108" w:type="dxa"/>
            <w:bottom w:w="0" w:type="dxa"/>
            <w:right w:w="108" w:type="dxa"/>
          </w:tblCellMar>
        </w:tblPrEx>
        <w:trPr>
          <w:trHeight w:val="690" w:hRule="atLeast"/>
          <w:jc w:val="center"/>
        </w:trPr>
        <w:tc>
          <w:tcPr>
            <w:tcW w:w="9999" w:type="dxa"/>
            <w:gridSpan w:val="9"/>
            <w:tcBorders>
              <w:top w:val="nil"/>
              <w:left w:val="nil"/>
              <w:bottom w:val="nil"/>
              <w:right w:val="nil"/>
            </w:tcBorders>
            <w:shd w:val="clear" w:color="auto" w:fill="auto"/>
            <w:noWrap/>
            <w:vAlign w:val="center"/>
          </w:tcPr>
          <w:p w14:paraId="6B4EAB50">
            <w:pPr>
              <w:widowControl/>
              <w:jc w:val="center"/>
              <w:rPr>
                <w:rFonts w:ascii="Times New Roman" w:hAnsi="Times New Roman" w:eastAsia="方正小标宋_GBK"/>
                <w:color w:val="000000"/>
                <w:kern w:val="0"/>
                <w:sz w:val="36"/>
                <w:szCs w:val="36"/>
              </w:rPr>
            </w:pPr>
            <w:r>
              <w:rPr>
                <w:rFonts w:hint="eastAsia" w:ascii="方正小标宋简体" w:hAnsi="方正小标宋简体" w:eastAsia="方正小标宋简体" w:cs="方正小标宋简体"/>
                <w:color w:val="000000"/>
                <w:kern w:val="0"/>
                <w:sz w:val="36"/>
                <w:szCs w:val="36"/>
              </w:rPr>
              <w:t>项目支出绩效自评表</w:t>
            </w:r>
          </w:p>
        </w:tc>
      </w:tr>
      <w:tr w14:paraId="56B9A953">
        <w:tblPrEx>
          <w:tblCellMar>
            <w:top w:w="0" w:type="dxa"/>
            <w:left w:w="108" w:type="dxa"/>
            <w:bottom w:w="0" w:type="dxa"/>
            <w:right w:w="108" w:type="dxa"/>
          </w:tblCellMar>
        </w:tblPrEx>
        <w:trPr>
          <w:trHeight w:val="270" w:hRule="atLeast"/>
          <w:jc w:val="center"/>
        </w:trPr>
        <w:tc>
          <w:tcPr>
            <w:tcW w:w="9999" w:type="dxa"/>
            <w:gridSpan w:val="9"/>
            <w:tcBorders>
              <w:top w:val="nil"/>
              <w:left w:val="nil"/>
              <w:bottom w:val="single" w:color="auto" w:sz="4" w:space="0"/>
              <w:right w:val="nil"/>
            </w:tcBorders>
            <w:shd w:val="clear" w:color="auto" w:fill="auto"/>
            <w:noWrap/>
            <w:vAlign w:val="center"/>
          </w:tcPr>
          <w:p w14:paraId="228B75CC">
            <w:pPr>
              <w:widowControl/>
              <w:jc w:val="both"/>
              <w:rPr>
                <w:rFonts w:ascii="Times New Roman" w:hAnsi="Times New Roman"/>
                <w:color w:val="000000"/>
                <w:kern w:val="0"/>
                <w:sz w:val="22"/>
              </w:rPr>
            </w:pPr>
            <w:r>
              <w:rPr>
                <w:rFonts w:ascii="Times New Roman" w:hAnsi="Times New Roman"/>
                <w:color w:val="000000"/>
                <w:kern w:val="0"/>
                <w:sz w:val="22"/>
              </w:rPr>
              <w:t xml:space="preserve"> 填报单位： （盖章）</w:t>
            </w:r>
            <w:r>
              <w:rPr>
                <w:rFonts w:hint="eastAsia" w:ascii="Times New Roman" w:hAnsi="Times New Roman"/>
                <w:color w:val="000000"/>
                <w:kern w:val="0"/>
                <w:sz w:val="22"/>
                <w:lang w:val="en-US" w:eastAsia="zh-CN"/>
              </w:rPr>
              <w:t xml:space="preserve">                </w:t>
            </w:r>
            <w:r>
              <w:rPr>
                <w:rFonts w:ascii="Times New Roman" w:hAnsi="Times New Roman"/>
                <w:color w:val="000000"/>
                <w:kern w:val="0"/>
                <w:sz w:val="22"/>
              </w:rPr>
              <w:t>（</w:t>
            </w:r>
            <w:r>
              <w:rPr>
                <w:rFonts w:hint="eastAsia" w:ascii="Times New Roman" w:hAnsi="Times New Roman"/>
                <w:color w:val="000000"/>
                <w:kern w:val="0"/>
                <w:sz w:val="22"/>
                <w:lang w:val="en-US" w:eastAsia="zh-CN"/>
              </w:rPr>
              <w:t>2022</w:t>
            </w:r>
            <w:r>
              <w:rPr>
                <w:rFonts w:ascii="Times New Roman" w:hAnsi="Times New Roman"/>
                <w:color w:val="000000"/>
                <w:kern w:val="0"/>
                <w:sz w:val="22"/>
              </w:rPr>
              <w:t>年度）</w:t>
            </w:r>
          </w:p>
        </w:tc>
      </w:tr>
      <w:tr w14:paraId="572E71FE">
        <w:tblPrEx>
          <w:tblCellMar>
            <w:top w:w="0" w:type="dxa"/>
            <w:left w:w="108" w:type="dxa"/>
            <w:bottom w:w="0" w:type="dxa"/>
            <w:right w:w="108" w:type="dxa"/>
          </w:tblCellMar>
        </w:tblPrEx>
        <w:trPr>
          <w:trHeight w:val="585"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7E16853B">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项目支</w:t>
            </w:r>
          </w:p>
          <w:p w14:paraId="3DFCC88A">
            <w:pPr>
              <w:widowControl/>
              <w:spacing w:line="2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出名称</w:t>
            </w:r>
          </w:p>
        </w:tc>
        <w:tc>
          <w:tcPr>
            <w:tcW w:w="8864" w:type="dxa"/>
            <w:gridSpan w:val="8"/>
            <w:tcBorders>
              <w:top w:val="single" w:color="auto" w:sz="4" w:space="0"/>
              <w:left w:val="nil"/>
              <w:bottom w:val="single" w:color="auto" w:sz="4" w:space="0"/>
              <w:right w:val="single" w:color="000000" w:sz="4" w:space="0"/>
            </w:tcBorders>
            <w:shd w:val="clear" w:color="auto" w:fill="auto"/>
            <w:noWrap/>
            <w:vAlign w:val="center"/>
          </w:tcPr>
          <w:p w14:paraId="66C79A38">
            <w:pPr>
              <w:widowControl/>
              <w:jc w:val="center"/>
              <w:rPr>
                <w:rFonts w:ascii="Times New Roman" w:hAnsi="Times New Roman" w:eastAsia="仿宋_GB2312"/>
                <w:color w:val="000000"/>
                <w:kern w:val="0"/>
                <w:szCs w:val="21"/>
              </w:rPr>
            </w:pPr>
            <w:r>
              <w:rPr>
                <w:rFonts w:hint="eastAsia" w:ascii="Times New Roman" w:hAnsi="Times New Roman"/>
                <w:kern w:val="0"/>
                <w:szCs w:val="21"/>
              </w:rPr>
              <w:t>房地产管理经费</w:t>
            </w:r>
            <w:r>
              <w:rPr>
                <w:rFonts w:ascii="Times New Roman" w:hAnsi="Times New Roman" w:eastAsia="仿宋_GB2312"/>
                <w:color w:val="000000"/>
                <w:kern w:val="0"/>
                <w:szCs w:val="21"/>
              </w:rPr>
              <w:t>　</w:t>
            </w:r>
          </w:p>
        </w:tc>
      </w:tr>
      <w:tr w14:paraId="46747055">
        <w:tblPrEx>
          <w:tblCellMar>
            <w:top w:w="0" w:type="dxa"/>
            <w:left w:w="108" w:type="dxa"/>
            <w:bottom w:w="0" w:type="dxa"/>
            <w:right w:w="108" w:type="dxa"/>
          </w:tblCellMar>
        </w:tblPrEx>
        <w:trPr>
          <w:trHeight w:val="400" w:hRule="atLeast"/>
          <w:jc w:val="center"/>
        </w:trPr>
        <w:tc>
          <w:tcPr>
            <w:tcW w:w="1135" w:type="dxa"/>
            <w:tcBorders>
              <w:top w:val="nil"/>
              <w:left w:val="single" w:color="auto" w:sz="4" w:space="0"/>
              <w:bottom w:val="single" w:color="auto" w:sz="4" w:space="0"/>
              <w:right w:val="single" w:color="auto" w:sz="4" w:space="0"/>
            </w:tcBorders>
            <w:shd w:val="clear" w:color="auto" w:fill="auto"/>
            <w:noWrap/>
            <w:vAlign w:val="center"/>
          </w:tcPr>
          <w:p w14:paraId="34240E81">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主管部门</w:t>
            </w:r>
          </w:p>
        </w:tc>
        <w:tc>
          <w:tcPr>
            <w:tcW w:w="4638" w:type="dxa"/>
            <w:gridSpan w:val="4"/>
            <w:tcBorders>
              <w:top w:val="single" w:color="auto" w:sz="4" w:space="0"/>
              <w:left w:val="nil"/>
              <w:bottom w:val="single" w:color="auto" w:sz="4" w:space="0"/>
              <w:right w:val="single" w:color="auto" w:sz="4" w:space="0"/>
            </w:tcBorders>
            <w:shd w:val="clear" w:color="auto" w:fill="auto"/>
            <w:noWrap/>
            <w:vAlign w:val="center"/>
          </w:tcPr>
          <w:p w14:paraId="0DCB83A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Cs w:val="21"/>
                <w:lang w:eastAsia="zh-CN"/>
              </w:rPr>
              <w:t>衡阳市住房和城乡建设局</w:t>
            </w:r>
            <w:r>
              <w:rPr>
                <w:rFonts w:hint="eastAsia" w:ascii="Times New Roman" w:hAnsi="Times New Roman"/>
                <w:color w:val="000000"/>
                <w:kern w:val="0"/>
                <w:szCs w:val="21"/>
              </w:rPr>
              <w:t>　</w:t>
            </w:r>
          </w:p>
        </w:tc>
        <w:tc>
          <w:tcPr>
            <w:tcW w:w="1107" w:type="dxa"/>
            <w:tcBorders>
              <w:top w:val="single" w:color="auto" w:sz="4" w:space="0"/>
              <w:left w:val="nil"/>
              <w:bottom w:val="single" w:color="auto" w:sz="4" w:space="0"/>
              <w:right w:val="single" w:color="000000" w:sz="4" w:space="0"/>
            </w:tcBorders>
            <w:shd w:val="clear" w:color="auto" w:fill="auto"/>
            <w:noWrap/>
            <w:vAlign w:val="center"/>
          </w:tcPr>
          <w:p w14:paraId="10B1520C">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实施单位</w:t>
            </w:r>
          </w:p>
        </w:tc>
        <w:tc>
          <w:tcPr>
            <w:tcW w:w="3119" w:type="dxa"/>
            <w:gridSpan w:val="3"/>
            <w:tcBorders>
              <w:top w:val="single" w:color="auto" w:sz="4" w:space="0"/>
              <w:left w:val="nil"/>
              <w:bottom w:val="single" w:color="auto" w:sz="4" w:space="0"/>
              <w:right w:val="single" w:color="auto" w:sz="4" w:space="0"/>
            </w:tcBorders>
            <w:shd w:val="clear" w:color="auto" w:fill="auto"/>
            <w:noWrap/>
            <w:vAlign w:val="center"/>
          </w:tcPr>
          <w:p w14:paraId="0BF0F1D9">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Times New Roman" w:hAnsi="Times New Roman"/>
                <w:color w:val="000000"/>
                <w:kern w:val="0"/>
                <w:szCs w:val="21"/>
                <w:lang w:eastAsia="zh-CN"/>
              </w:rPr>
              <w:t>衡阳市住房保障服务中心</w:t>
            </w:r>
          </w:p>
        </w:tc>
      </w:tr>
      <w:tr w14:paraId="5E00DA5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1CF56E6F">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项目资金</w:t>
            </w:r>
            <w:r>
              <w:rPr>
                <w:rFonts w:ascii="Times New Roman" w:hAnsi="Times New Roman" w:eastAsia="仿宋_GB2312"/>
                <w:color w:val="000000"/>
                <w:kern w:val="0"/>
                <w:szCs w:val="21"/>
              </w:rPr>
              <w:br w:type="textWrapping"/>
            </w:r>
            <w:r>
              <w:rPr>
                <w:rFonts w:ascii="Times New Roman" w:hAnsi="Times New Roman" w:eastAsia="仿宋_GB2312"/>
                <w:color w:val="000000"/>
                <w:kern w:val="0"/>
                <w:szCs w:val="21"/>
              </w:rPr>
              <w:t>（万元）</w:t>
            </w:r>
          </w:p>
        </w:tc>
        <w:tc>
          <w:tcPr>
            <w:tcW w:w="2130" w:type="dxa"/>
            <w:gridSpan w:val="2"/>
            <w:tcBorders>
              <w:top w:val="nil"/>
              <w:left w:val="nil"/>
              <w:bottom w:val="single" w:color="auto" w:sz="4" w:space="0"/>
              <w:right w:val="single" w:color="auto" w:sz="4" w:space="0"/>
            </w:tcBorders>
            <w:shd w:val="clear" w:color="auto" w:fill="auto"/>
            <w:noWrap/>
            <w:vAlign w:val="center"/>
          </w:tcPr>
          <w:p w14:paraId="0A8530D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350" w:type="dxa"/>
            <w:tcBorders>
              <w:top w:val="nil"/>
              <w:left w:val="nil"/>
              <w:bottom w:val="single" w:color="auto" w:sz="4" w:space="0"/>
              <w:right w:val="single" w:color="auto" w:sz="4" w:space="0"/>
            </w:tcBorders>
            <w:shd w:val="clear" w:color="auto" w:fill="auto"/>
            <w:noWrap/>
            <w:vAlign w:val="center"/>
          </w:tcPr>
          <w:p w14:paraId="779DD5FB">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年初</w:t>
            </w:r>
          </w:p>
          <w:p w14:paraId="5186AD31">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58" w:type="dxa"/>
            <w:tcBorders>
              <w:top w:val="nil"/>
              <w:left w:val="nil"/>
              <w:bottom w:val="single" w:color="auto" w:sz="4" w:space="0"/>
              <w:right w:val="single" w:color="auto" w:sz="4" w:space="0"/>
            </w:tcBorders>
            <w:shd w:val="clear" w:color="auto" w:fill="auto"/>
            <w:noWrap/>
            <w:vAlign w:val="center"/>
          </w:tcPr>
          <w:p w14:paraId="5CE1F5CC">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全年</w:t>
            </w:r>
          </w:p>
          <w:p w14:paraId="1A6112BA">
            <w:pPr>
              <w:widowControl/>
              <w:spacing w:line="240" w:lineRule="exact"/>
              <w:ind w:firstLine="210" w:firstLineChars="10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预算数</w:t>
            </w:r>
          </w:p>
        </w:tc>
        <w:tc>
          <w:tcPr>
            <w:tcW w:w="1107" w:type="dxa"/>
            <w:tcBorders>
              <w:top w:val="nil"/>
              <w:left w:val="nil"/>
              <w:bottom w:val="single" w:color="auto" w:sz="4" w:space="0"/>
              <w:right w:val="single" w:color="auto" w:sz="4" w:space="0"/>
            </w:tcBorders>
            <w:shd w:val="clear" w:color="auto" w:fill="auto"/>
            <w:noWrap/>
          </w:tcPr>
          <w:p w14:paraId="6CE7AA48">
            <w:pPr>
              <w:spacing w:line="240" w:lineRule="exact"/>
              <w:jc w:val="center"/>
              <w:rPr>
                <w:rFonts w:ascii="Times New Roman" w:hAnsi="Times New Roman" w:eastAsia="仿宋_GB2312"/>
                <w:szCs w:val="21"/>
              </w:rPr>
            </w:pPr>
            <w:r>
              <w:rPr>
                <w:rFonts w:ascii="Times New Roman" w:hAnsi="Times New Roman" w:eastAsia="仿宋_GB2312"/>
                <w:szCs w:val="21"/>
              </w:rPr>
              <w:t>全年</w:t>
            </w:r>
          </w:p>
          <w:p w14:paraId="0BF52E21">
            <w:pPr>
              <w:spacing w:line="240" w:lineRule="exact"/>
              <w:jc w:val="center"/>
              <w:rPr>
                <w:rFonts w:ascii="Times New Roman" w:hAnsi="Times New Roman" w:eastAsia="仿宋_GB2312"/>
                <w:szCs w:val="21"/>
              </w:rPr>
            </w:pPr>
            <w:r>
              <w:rPr>
                <w:rFonts w:ascii="Times New Roman" w:hAnsi="Times New Roman" w:eastAsia="仿宋_GB2312"/>
                <w:szCs w:val="21"/>
              </w:rPr>
              <w:t>执行数</w:t>
            </w:r>
          </w:p>
        </w:tc>
        <w:tc>
          <w:tcPr>
            <w:tcW w:w="885" w:type="dxa"/>
            <w:tcBorders>
              <w:top w:val="nil"/>
              <w:left w:val="nil"/>
              <w:bottom w:val="single" w:color="auto" w:sz="4" w:space="0"/>
              <w:right w:val="single" w:color="auto" w:sz="4" w:space="0"/>
            </w:tcBorders>
            <w:shd w:val="clear" w:color="auto" w:fill="auto"/>
            <w:noWrap/>
          </w:tcPr>
          <w:p w14:paraId="1F72AFAC">
            <w:pPr>
              <w:spacing w:line="240" w:lineRule="exact"/>
              <w:jc w:val="center"/>
              <w:rPr>
                <w:rFonts w:ascii="Times New Roman" w:hAnsi="Times New Roman" w:eastAsia="仿宋_GB2312"/>
                <w:szCs w:val="21"/>
              </w:rPr>
            </w:pPr>
          </w:p>
          <w:p w14:paraId="16567611">
            <w:pPr>
              <w:spacing w:line="240" w:lineRule="exact"/>
              <w:jc w:val="center"/>
              <w:rPr>
                <w:rFonts w:ascii="Times New Roman" w:hAnsi="Times New Roman" w:eastAsia="仿宋_GB2312"/>
                <w:szCs w:val="21"/>
              </w:rPr>
            </w:pPr>
            <w:r>
              <w:rPr>
                <w:rFonts w:ascii="Times New Roman" w:hAnsi="Times New Roman" w:eastAsia="仿宋_GB2312"/>
                <w:szCs w:val="21"/>
              </w:rPr>
              <w:t>分值</w:t>
            </w:r>
          </w:p>
        </w:tc>
        <w:tc>
          <w:tcPr>
            <w:tcW w:w="963" w:type="dxa"/>
            <w:tcBorders>
              <w:top w:val="nil"/>
              <w:left w:val="nil"/>
              <w:bottom w:val="single" w:color="auto" w:sz="4" w:space="0"/>
              <w:right w:val="single" w:color="auto" w:sz="4" w:space="0"/>
            </w:tcBorders>
            <w:shd w:val="clear" w:color="auto" w:fill="auto"/>
            <w:noWrap/>
          </w:tcPr>
          <w:p w14:paraId="6799D596">
            <w:pPr>
              <w:spacing w:line="240" w:lineRule="exact"/>
              <w:jc w:val="center"/>
              <w:rPr>
                <w:rFonts w:ascii="Times New Roman" w:hAnsi="Times New Roman" w:eastAsia="仿宋_GB2312"/>
                <w:szCs w:val="21"/>
              </w:rPr>
            </w:pPr>
          </w:p>
          <w:p w14:paraId="163E5BB2">
            <w:pPr>
              <w:spacing w:line="240" w:lineRule="exact"/>
              <w:jc w:val="center"/>
              <w:rPr>
                <w:rFonts w:ascii="Times New Roman" w:hAnsi="Times New Roman" w:eastAsia="仿宋_GB2312"/>
                <w:szCs w:val="21"/>
              </w:rPr>
            </w:pPr>
            <w:r>
              <w:rPr>
                <w:rFonts w:ascii="Times New Roman" w:hAnsi="Times New Roman" w:eastAsia="仿宋_GB2312"/>
                <w:szCs w:val="21"/>
              </w:rPr>
              <w:t>执行率</w:t>
            </w:r>
          </w:p>
        </w:tc>
        <w:tc>
          <w:tcPr>
            <w:tcW w:w="1271" w:type="dxa"/>
            <w:tcBorders>
              <w:top w:val="nil"/>
              <w:left w:val="nil"/>
              <w:bottom w:val="single" w:color="auto" w:sz="4" w:space="0"/>
              <w:right w:val="single" w:color="auto" w:sz="4" w:space="0"/>
            </w:tcBorders>
            <w:shd w:val="clear" w:color="auto" w:fill="auto"/>
            <w:noWrap/>
          </w:tcPr>
          <w:p w14:paraId="249811F2">
            <w:pPr>
              <w:spacing w:line="240" w:lineRule="exact"/>
              <w:jc w:val="center"/>
              <w:rPr>
                <w:rFonts w:ascii="Times New Roman" w:hAnsi="Times New Roman" w:eastAsia="仿宋_GB2312"/>
                <w:szCs w:val="21"/>
              </w:rPr>
            </w:pPr>
          </w:p>
          <w:p w14:paraId="7F8B3C5B">
            <w:pPr>
              <w:spacing w:line="240" w:lineRule="exact"/>
              <w:jc w:val="center"/>
              <w:rPr>
                <w:rFonts w:ascii="Times New Roman" w:hAnsi="Times New Roman" w:eastAsia="仿宋_GB2312"/>
                <w:szCs w:val="21"/>
              </w:rPr>
            </w:pPr>
            <w:r>
              <w:rPr>
                <w:rFonts w:ascii="Times New Roman" w:hAnsi="Times New Roman" w:eastAsia="仿宋_GB2312"/>
                <w:szCs w:val="21"/>
              </w:rPr>
              <w:t>得分</w:t>
            </w:r>
          </w:p>
        </w:tc>
      </w:tr>
      <w:tr w14:paraId="5148CBC5">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341D8563">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7E037A8C">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年度资金总额　</w:t>
            </w:r>
          </w:p>
        </w:tc>
        <w:tc>
          <w:tcPr>
            <w:tcW w:w="1350" w:type="dxa"/>
            <w:tcBorders>
              <w:top w:val="nil"/>
              <w:left w:val="nil"/>
              <w:bottom w:val="single" w:color="auto" w:sz="4" w:space="0"/>
              <w:right w:val="single" w:color="auto" w:sz="4" w:space="0"/>
            </w:tcBorders>
            <w:shd w:val="clear" w:color="auto" w:fill="auto"/>
            <w:noWrap/>
            <w:vAlign w:val="center"/>
          </w:tcPr>
          <w:p w14:paraId="0C6B7A40">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9.88</w:t>
            </w:r>
          </w:p>
        </w:tc>
        <w:tc>
          <w:tcPr>
            <w:tcW w:w="1158" w:type="dxa"/>
            <w:tcBorders>
              <w:top w:val="nil"/>
              <w:left w:val="nil"/>
              <w:bottom w:val="single" w:color="auto" w:sz="4" w:space="0"/>
              <w:right w:val="single" w:color="auto" w:sz="4" w:space="0"/>
            </w:tcBorders>
            <w:shd w:val="clear" w:color="auto" w:fill="auto"/>
            <w:noWrap/>
            <w:vAlign w:val="center"/>
          </w:tcPr>
          <w:p w14:paraId="2113ADD3">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9.88</w:t>
            </w:r>
          </w:p>
        </w:tc>
        <w:tc>
          <w:tcPr>
            <w:tcW w:w="1107" w:type="dxa"/>
            <w:tcBorders>
              <w:top w:val="nil"/>
              <w:left w:val="nil"/>
              <w:bottom w:val="single" w:color="auto" w:sz="4" w:space="0"/>
              <w:right w:val="single" w:color="auto" w:sz="4" w:space="0"/>
            </w:tcBorders>
            <w:shd w:val="clear" w:color="auto" w:fill="auto"/>
            <w:noWrap/>
            <w:vAlign w:val="center"/>
          </w:tcPr>
          <w:p w14:paraId="088139D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9.88</w:t>
            </w:r>
          </w:p>
        </w:tc>
        <w:tc>
          <w:tcPr>
            <w:tcW w:w="885" w:type="dxa"/>
            <w:tcBorders>
              <w:top w:val="nil"/>
              <w:left w:val="nil"/>
              <w:bottom w:val="single" w:color="auto" w:sz="4" w:space="0"/>
              <w:right w:val="single" w:color="auto" w:sz="4" w:space="0"/>
            </w:tcBorders>
            <w:shd w:val="clear" w:color="auto" w:fill="auto"/>
            <w:noWrap/>
            <w:vAlign w:val="center"/>
          </w:tcPr>
          <w:p w14:paraId="2FD965F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c>
          <w:tcPr>
            <w:tcW w:w="963" w:type="dxa"/>
            <w:tcBorders>
              <w:top w:val="nil"/>
              <w:left w:val="nil"/>
              <w:bottom w:val="single" w:color="auto" w:sz="4" w:space="0"/>
              <w:right w:val="single" w:color="auto" w:sz="4" w:space="0"/>
            </w:tcBorders>
            <w:shd w:val="clear" w:color="auto" w:fill="auto"/>
            <w:noWrap/>
            <w:vAlign w:val="center"/>
          </w:tcPr>
          <w:p w14:paraId="1F1E52A7">
            <w:pPr>
              <w:widowControl/>
              <w:jc w:val="center"/>
              <w:rPr>
                <w:rFonts w:hint="default"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100%</w:t>
            </w:r>
          </w:p>
        </w:tc>
        <w:tc>
          <w:tcPr>
            <w:tcW w:w="1271" w:type="dxa"/>
            <w:tcBorders>
              <w:top w:val="nil"/>
              <w:left w:val="nil"/>
              <w:bottom w:val="single" w:color="auto" w:sz="4" w:space="0"/>
              <w:right w:val="single" w:color="auto" w:sz="4" w:space="0"/>
            </w:tcBorders>
            <w:shd w:val="clear" w:color="auto" w:fill="auto"/>
            <w:noWrap/>
            <w:vAlign w:val="center"/>
          </w:tcPr>
          <w:p w14:paraId="5F6593F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w:t>
            </w:r>
          </w:p>
        </w:tc>
      </w:tr>
      <w:tr w14:paraId="0685FC3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7D7DB79A">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596D8CC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其中：当年财政拨款　</w:t>
            </w:r>
          </w:p>
        </w:tc>
        <w:tc>
          <w:tcPr>
            <w:tcW w:w="1350" w:type="dxa"/>
            <w:tcBorders>
              <w:top w:val="nil"/>
              <w:left w:val="nil"/>
              <w:bottom w:val="single" w:color="auto" w:sz="4" w:space="0"/>
              <w:right w:val="single" w:color="auto" w:sz="4" w:space="0"/>
            </w:tcBorders>
            <w:shd w:val="clear" w:color="auto" w:fill="auto"/>
            <w:noWrap/>
            <w:vAlign w:val="center"/>
          </w:tcPr>
          <w:p w14:paraId="1B8619BD">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9.88</w:t>
            </w:r>
          </w:p>
        </w:tc>
        <w:tc>
          <w:tcPr>
            <w:tcW w:w="1158" w:type="dxa"/>
            <w:tcBorders>
              <w:top w:val="nil"/>
              <w:left w:val="nil"/>
              <w:bottom w:val="single" w:color="auto" w:sz="4" w:space="0"/>
              <w:right w:val="single" w:color="auto" w:sz="4" w:space="0"/>
            </w:tcBorders>
            <w:shd w:val="clear" w:color="auto" w:fill="auto"/>
            <w:noWrap/>
            <w:vAlign w:val="center"/>
          </w:tcPr>
          <w:p w14:paraId="4D2D8CD8">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9.88</w:t>
            </w:r>
          </w:p>
        </w:tc>
        <w:tc>
          <w:tcPr>
            <w:tcW w:w="1107" w:type="dxa"/>
            <w:tcBorders>
              <w:top w:val="nil"/>
              <w:left w:val="nil"/>
              <w:bottom w:val="single" w:color="auto" w:sz="4" w:space="0"/>
              <w:right w:val="single" w:color="auto" w:sz="4" w:space="0"/>
            </w:tcBorders>
            <w:shd w:val="clear" w:color="auto" w:fill="auto"/>
            <w:noWrap/>
            <w:vAlign w:val="center"/>
          </w:tcPr>
          <w:p w14:paraId="6AD47F20">
            <w:pPr>
              <w:widowControl/>
              <w:jc w:val="center"/>
              <w:rPr>
                <w:rFonts w:hint="default"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9.88</w:t>
            </w:r>
          </w:p>
        </w:tc>
        <w:tc>
          <w:tcPr>
            <w:tcW w:w="885" w:type="dxa"/>
            <w:tcBorders>
              <w:top w:val="nil"/>
              <w:left w:val="nil"/>
              <w:bottom w:val="single" w:color="auto" w:sz="4" w:space="0"/>
              <w:right w:val="single" w:color="auto" w:sz="4" w:space="0"/>
            </w:tcBorders>
            <w:shd w:val="clear" w:color="auto" w:fill="auto"/>
            <w:noWrap/>
            <w:vAlign w:val="center"/>
          </w:tcPr>
          <w:p w14:paraId="56468E40">
            <w:pPr>
              <w:widowControl/>
              <w:jc w:val="center"/>
              <w:rPr>
                <w:rFonts w:ascii="Times New Roman" w:hAnsi="Times New Roman" w:eastAsia="仿宋_GB2312" w:cs="Times New Roman"/>
                <w:color w:val="000000"/>
                <w:kern w:val="0"/>
                <w:sz w:val="21"/>
                <w:szCs w:val="21"/>
                <w:lang w:val="en-US" w:eastAsia="zh-CN" w:bidi="ar-SA"/>
              </w:rPr>
            </w:pPr>
          </w:p>
        </w:tc>
        <w:tc>
          <w:tcPr>
            <w:tcW w:w="963" w:type="dxa"/>
            <w:tcBorders>
              <w:top w:val="nil"/>
              <w:left w:val="nil"/>
              <w:bottom w:val="single" w:color="auto" w:sz="4" w:space="0"/>
              <w:right w:val="single" w:color="auto" w:sz="4" w:space="0"/>
            </w:tcBorders>
            <w:shd w:val="clear" w:color="auto" w:fill="auto"/>
            <w:noWrap/>
            <w:vAlign w:val="center"/>
          </w:tcPr>
          <w:p w14:paraId="1C95A908">
            <w:pPr>
              <w:widowControl/>
              <w:jc w:val="center"/>
              <w:rPr>
                <w:rFonts w:hint="default" w:ascii="Times New Roman" w:hAnsi="Times New Roman" w:eastAsia="仿宋_GB2312" w:cs="Times New Roman"/>
                <w:color w:val="000000"/>
                <w:kern w:val="0"/>
                <w:sz w:val="21"/>
                <w:szCs w:val="21"/>
                <w:lang w:val="en-US" w:eastAsia="zh-CN" w:bidi="ar-SA"/>
              </w:rPr>
            </w:pPr>
          </w:p>
        </w:tc>
        <w:tc>
          <w:tcPr>
            <w:tcW w:w="1271" w:type="dxa"/>
            <w:tcBorders>
              <w:top w:val="nil"/>
              <w:left w:val="nil"/>
              <w:bottom w:val="single" w:color="auto" w:sz="4" w:space="0"/>
              <w:right w:val="single" w:color="auto" w:sz="4" w:space="0"/>
            </w:tcBorders>
            <w:shd w:val="clear" w:color="auto" w:fill="auto"/>
            <w:noWrap/>
            <w:vAlign w:val="center"/>
          </w:tcPr>
          <w:p w14:paraId="51E2DCBE">
            <w:pPr>
              <w:widowControl/>
              <w:jc w:val="center"/>
              <w:rPr>
                <w:rFonts w:ascii="Times New Roman" w:hAnsi="Times New Roman" w:eastAsia="仿宋_GB2312" w:cs="Times New Roman"/>
                <w:color w:val="000000"/>
                <w:kern w:val="0"/>
                <w:sz w:val="21"/>
                <w:szCs w:val="21"/>
                <w:lang w:val="en-US" w:eastAsia="zh-CN" w:bidi="ar-SA"/>
              </w:rPr>
            </w:pPr>
          </w:p>
        </w:tc>
      </w:tr>
      <w:tr w14:paraId="287A8040">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B57C2D3">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685D53A5">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上年结转资金　</w:t>
            </w:r>
          </w:p>
        </w:tc>
        <w:tc>
          <w:tcPr>
            <w:tcW w:w="1350" w:type="dxa"/>
            <w:tcBorders>
              <w:top w:val="nil"/>
              <w:left w:val="nil"/>
              <w:bottom w:val="single" w:color="auto" w:sz="4" w:space="0"/>
              <w:right w:val="single" w:color="auto" w:sz="4" w:space="0"/>
            </w:tcBorders>
            <w:shd w:val="clear" w:color="auto" w:fill="auto"/>
            <w:noWrap/>
            <w:vAlign w:val="center"/>
          </w:tcPr>
          <w:p w14:paraId="533CF4EA">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1158" w:type="dxa"/>
            <w:tcBorders>
              <w:top w:val="nil"/>
              <w:left w:val="nil"/>
              <w:bottom w:val="single" w:color="auto" w:sz="4" w:space="0"/>
              <w:right w:val="single" w:color="auto" w:sz="4" w:space="0"/>
            </w:tcBorders>
            <w:shd w:val="clear" w:color="auto" w:fill="auto"/>
            <w:noWrap/>
            <w:vAlign w:val="center"/>
          </w:tcPr>
          <w:p w14:paraId="3F96641C">
            <w:pPr>
              <w:widowControl/>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6F80690C">
            <w:pPr>
              <w:widowControl/>
              <w:jc w:val="center"/>
              <w:rPr>
                <w:rFonts w:hint="eastAsia" w:ascii="Times New Roman" w:hAnsi="Times New Roman" w:eastAsia="仿宋_GB2312"/>
                <w:color w:val="000000"/>
                <w:kern w:val="0"/>
                <w:szCs w:val="21"/>
                <w:lang w:val="en-US" w:eastAsia="zh-CN"/>
              </w:rPr>
            </w:pPr>
            <w:r>
              <w:rPr>
                <w:rFonts w:hint="eastAsia" w:ascii="Times New Roman" w:hAnsi="Times New Roman" w:eastAsia="仿宋_GB2312"/>
                <w:color w:val="000000"/>
                <w:kern w:val="0"/>
                <w:szCs w:val="21"/>
                <w:lang w:val="en-US" w:eastAsia="zh-CN"/>
              </w:rPr>
              <w:t>0</w:t>
            </w:r>
          </w:p>
        </w:tc>
        <w:tc>
          <w:tcPr>
            <w:tcW w:w="885" w:type="dxa"/>
            <w:tcBorders>
              <w:top w:val="nil"/>
              <w:left w:val="nil"/>
              <w:bottom w:val="single" w:color="auto" w:sz="4" w:space="0"/>
              <w:right w:val="single" w:color="auto" w:sz="4" w:space="0"/>
            </w:tcBorders>
            <w:shd w:val="clear" w:color="auto" w:fill="auto"/>
            <w:noWrap/>
            <w:vAlign w:val="center"/>
          </w:tcPr>
          <w:p w14:paraId="40CF5C1A">
            <w:pPr>
              <w:widowControl/>
              <w:jc w:val="center"/>
              <w:rPr>
                <w:rFonts w:ascii="Times New Roman" w:hAnsi="Times New Roman" w:eastAsia="仿宋_GB2312"/>
                <w:color w:val="000000"/>
                <w:kern w:val="0"/>
                <w:szCs w:val="21"/>
              </w:rPr>
            </w:pPr>
          </w:p>
        </w:tc>
        <w:tc>
          <w:tcPr>
            <w:tcW w:w="963" w:type="dxa"/>
            <w:tcBorders>
              <w:top w:val="nil"/>
              <w:left w:val="nil"/>
              <w:bottom w:val="single" w:color="auto" w:sz="4" w:space="0"/>
              <w:right w:val="single" w:color="auto" w:sz="4" w:space="0"/>
            </w:tcBorders>
            <w:shd w:val="clear" w:color="auto" w:fill="auto"/>
            <w:noWrap/>
            <w:vAlign w:val="center"/>
          </w:tcPr>
          <w:p w14:paraId="195D1515">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0D1BFB1E">
            <w:pPr>
              <w:widowControl/>
              <w:jc w:val="center"/>
              <w:rPr>
                <w:rFonts w:ascii="Times New Roman" w:hAnsi="Times New Roman" w:eastAsia="仿宋_GB2312"/>
                <w:color w:val="000000"/>
                <w:kern w:val="0"/>
                <w:szCs w:val="21"/>
              </w:rPr>
            </w:pPr>
          </w:p>
        </w:tc>
      </w:tr>
      <w:tr w14:paraId="71B69831">
        <w:tblPrEx>
          <w:tblCellMar>
            <w:top w:w="0" w:type="dxa"/>
            <w:left w:w="108" w:type="dxa"/>
            <w:bottom w:w="0" w:type="dxa"/>
            <w:right w:w="108" w:type="dxa"/>
          </w:tblCellMar>
        </w:tblPrEx>
        <w:trPr>
          <w:trHeight w:val="340" w:hRule="atLeast"/>
          <w:jc w:val="center"/>
        </w:trPr>
        <w:tc>
          <w:tcPr>
            <w:tcW w:w="1135" w:type="dxa"/>
            <w:vMerge w:val="continue"/>
            <w:tcBorders>
              <w:top w:val="nil"/>
              <w:left w:val="single" w:color="auto" w:sz="4" w:space="0"/>
              <w:bottom w:val="single" w:color="000000" w:sz="4" w:space="0"/>
              <w:right w:val="single" w:color="auto" w:sz="4" w:space="0"/>
            </w:tcBorders>
            <w:shd w:val="clear" w:color="auto" w:fill="auto"/>
            <w:noWrap/>
            <w:vAlign w:val="center"/>
          </w:tcPr>
          <w:p w14:paraId="043D02A7">
            <w:pPr>
              <w:widowControl/>
              <w:jc w:val="left"/>
              <w:rPr>
                <w:rFonts w:ascii="Times New Roman" w:hAnsi="Times New Roman" w:eastAsia="仿宋_GB2312"/>
                <w:color w:val="000000"/>
                <w:kern w:val="0"/>
                <w:szCs w:val="21"/>
              </w:rPr>
            </w:pPr>
          </w:p>
        </w:tc>
        <w:tc>
          <w:tcPr>
            <w:tcW w:w="2130" w:type="dxa"/>
            <w:gridSpan w:val="2"/>
            <w:tcBorders>
              <w:top w:val="nil"/>
              <w:left w:val="nil"/>
              <w:bottom w:val="single" w:color="auto" w:sz="4" w:space="0"/>
              <w:right w:val="single" w:color="auto" w:sz="4" w:space="0"/>
            </w:tcBorders>
            <w:shd w:val="clear" w:color="auto" w:fill="auto"/>
            <w:noWrap/>
            <w:vAlign w:val="center"/>
          </w:tcPr>
          <w:p w14:paraId="387E8529">
            <w:pPr>
              <w:widowControl/>
              <w:ind w:firstLine="630" w:firstLineChars="300"/>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其他资金</w:t>
            </w:r>
          </w:p>
        </w:tc>
        <w:tc>
          <w:tcPr>
            <w:tcW w:w="1350" w:type="dxa"/>
            <w:tcBorders>
              <w:top w:val="nil"/>
              <w:left w:val="nil"/>
              <w:bottom w:val="single" w:color="auto" w:sz="4" w:space="0"/>
              <w:right w:val="single" w:color="auto" w:sz="4" w:space="0"/>
            </w:tcBorders>
            <w:shd w:val="clear" w:color="auto" w:fill="auto"/>
            <w:noWrap/>
            <w:vAlign w:val="center"/>
          </w:tcPr>
          <w:p w14:paraId="717D9AE8">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0</w:t>
            </w:r>
          </w:p>
        </w:tc>
        <w:tc>
          <w:tcPr>
            <w:tcW w:w="1158" w:type="dxa"/>
            <w:tcBorders>
              <w:top w:val="nil"/>
              <w:left w:val="nil"/>
              <w:bottom w:val="single" w:color="auto" w:sz="4" w:space="0"/>
              <w:right w:val="single" w:color="auto" w:sz="4" w:space="0"/>
            </w:tcBorders>
            <w:shd w:val="clear" w:color="auto" w:fill="auto"/>
            <w:noWrap/>
            <w:vAlign w:val="center"/>
          </w:tcPr>
          <w:p w14:paraId="1D689FF9">
            <w:pPr>
              <w:widowControl/>
              <w:jc w:val="center"/>
              <w:rPr>
                <w:rFonts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0</w:t>
            </w:r>
          </w:p>
        </w:tc>
        <w:tc>
          <w:tcPr>
            <w:tcW w:w="1107" w:type="dxa"/>
            <w:tcBorders>
              <w:top w:val="nil"/>
              <w:left w:val="nil"/>
              <w:bottom w:val="single" w:color="auto" w:sz="4" w:space="0"/>
              <w:right w:val="single" w:color="auto" w:sz="4" w:space="0"/>
            </w:tcBorders>
            <w:shd w:val="clear" w:color="auto" w:fill="auto"/>
            <w:noWrap/>
            <w:vAlign w:val="center"/>
          </w:tcPr>
          <w:p w14:paraId="1B9C5727">
            <w:pPr>
              <w:widowControl/>
              <w:jc w:val="center"/>
              <w:rPr>
                <w:rFonts w:hint="eastAsia" w:ascii="Times New Roman" w:hAnsi="Times New Roman" w:eastAsia="仿宋_GB2312" w:cs="Times New Roman"/>
                <w:color w:val="000000"/>
                <w:kern w:val="0"/>
                <w:sz w:val="21"/>
                <w:szCs w:val="21"/>
                <w:lang w:val="en-US" w:eastAsia="zh-CN" w:bidi="ar-SA"/>
              </w:rPr>
            </w:pPr>
            <w:r>
              <w:rPr>
                <w:rFonts w:hint="eastAsia" w:ascii="Times New Roman" w:hAnsi="Times New Roman" w:eastAsia="仿宋_GB2312"/>
                <w:color w:val="000000"/>
                <w:kern w:val="0"/>
                <w:szCs w:val="21"/>
                <w:lang w:val="en-US" w:eastAsia="zh-CN"/>
              </w:rPr>
              <w:t>0</w:t>
            </w:r>
          </w:p>
        </w:tc>
        <w:tc>
          <w:tcPr>
            <w:tcW w:w="885" w:type="dxa"/>
            <w:tcBorders>
              <w:top w:val="nil"/>
              <w:left w:val="nil"/>
              <w:bottom w:val="single" w:color="auto" w:sz="4" w:space="0"/>
              <w:right w:val="single" w:color="auto" w:sz="4" w:space="0"/>
            </w:tcBorders>
            <w:shd w:val="clear" w:color="auto" w:fill="auto"/>
            <w:noWrap/>
            <w:vAlign w:val="center"/>
          </w:tcPr>
          <w:p w14:paraId="2CD12E76">
            <w:pPr>
              <w:widowControl/>
              <w:jc w:val="center"/>
              <w:rPr>
                <w:rFonts w:ascii="Times New Roman" w:hAnsi="Times New Roman" w:eastAsia="仿宋_GB2312"/>
                <w:color w:val="000000"/>
                <w:kern w:val="0"/>
                <w:szCs w:val="21"/>
              </w:rPr>
            </w:pPr>
          </w:p>
        </w:tc>
        <w:tc>
          <w:tcPr>
            <w:tcW w:w="963" w:type="dxa"/>
            <w:tcBorders>
              <w:top w:val="nil"/>
              <w:left w:val="nil"/>
              <w:bottom w:val="single" w:color="auto" w:sz="4" w:space="0"/>
              <w:right w:val="single" w:color="auto" w:sz="4" w:space="0"/>
            </w:tcBorders>
            <w:shd w:val="clear" w:color="auto" w:fill="auto"/>
            <w:noWrap/>
            <w:vAlign w:val="center"/>
          </w:tcPr>
          <w:p w14:paraId="3792E75C">
            <w:pPr>
              <w:widowControl/>
              <w:jc w:val="center"/>
              <w:rPr>
                <w:rFonts w:ascii="Times New Roman" w:hAnsi="Times New Roman" w:eastAsia="仿宋_GB2312"/>
                <w:color w:val="000000"/>
                <w:kern w:val="0"/>
                <w:szCs w:val="21"/>
              </w:rPr>
            </w:pPr>
          </w:p>
        </w:tc>
        <w:tc>
          <w:tcPr>
            <w:tcW w:w="1271" w:type="dxa"/>
            <w:tcBorders>
              <w:top w:val="nil"/>
              <w:left w:val="nil"/>
              <w:bottom w:val="single" w:color="auto" w:sz="4" w:space="0"/>
              <w:right w:val="single" w:color="auto" w:sz="4" w:space="0"/>
            </w:tcBorders>
            <w:shd w:val="clear" w:color="auto" w:fill="auto"/>
            <w:noWrap/>
            <w:vAlign w:val="center"/>
          </w:tcPr>
          <w:p w14:paraId="4F72BFF2">
            <w:pPr>
              <w:widowControl/>
              <w:jc w:val="center"/>
              <w:rPr>
                <w:rFonts w:ascii="Times New Roman" w:hAnsi="Times New Roman" w:eastAsia="仿宋_GB2312"/>
                <w:color w:val="000000"/>
                <w:kern w:val="0"/>
                <w:szCs w:val="21"/>
              </w:rPr>
            </w:pPr>
          </w:p>
        </w:tc>
      </w:tr>
      <w:tr w14:paraId="1D3C5DD7">
        <w:tblPrEx>
          <w:tblCellMar>
            <w:top w:w="0" w:type="dxa"/>
            <w:left w:w="108" w:type="dxa"/>
            <w:bottom w:w="0" w:type="dxa"/>
            <w:right w:w="108" w:type="dxa"/>
          </w:tblCellMar>
        </w:tblPrEx>
        <w:trPr>
          <w:trHeight w:val="340" w:hRule="atLeast"/>
          <w:jc w:val="center"/>
        </w:trPr>
        <w:tc>
          <w:tcPr>
            <w:tcW w:w="1135" w:type="dxa"/>
            <w:vMerge w:val="restart"/>
            <w:tcBorders>
              <w:top w:val="nil"/>
              <w:left w:val="single" w:color="auto" w:sz="4" w:space="0"/>
              <w:bottom w:val="single" w:color="000000" w:sz="4" w:space="0"/>
              <w:right w:val="single" w:color="auto" w:sz="4" w:space="0"/>
            </w:tcBorders>
            <w:shd w:val="clear" w:color="auto" w:fill="auto"/>
            <w:noWrap/>
            <w:vAlign w:val="center"/>
          </w:tcPr>
          <w:p w14:paraId="4CBDA4F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年度总</w:t>
            </w:r>
          </w:p>
          <w:p w14:paraId="02025A49">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体目标</w:t>
            </w: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48069CA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预期目标</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3866D6C3">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实际完成情况　</w:t>
            </w:r>
          </w:p>
        </w:tc>
      </w:tr>
      <w:tr w14:paraId="3C39264B">
        <w:tblPrEx>
          <w:tblCellMar>
            <w:top w:w="0" w:type="dxa"/>
            <w:left w:w="108" w:type="dxa"/>
            <w:bottom w:w="0" w:type="dxa"/>
            <w:right w:w="108" w:type="dxa"/>
          </w:tblCellMar>
        </w:tblPrEx>
        <w:trPr>
          <w:trHeight w:val="610" w:hRule="atLeast"/>
          <w:jc w:val="center"/>
        </w:trPr>
        <w:tc>
          <w:tcPr>
            <w:tcW w:w="1135" w:type="dxa"/>
            <w:vMerge w:val="continue"/>
            <w:tcBorders>
              <w:top w:val="nil"/>
              <w:left w:val="single" w:color="auto" w:sz="4" w:space="0"/>
              <w:bottom w:val="single" w:color="auto" w:sz="4" w:space="0"/>
              <w:right w:val="single" w:color="auto" w:sz="4" w:space="0"/>
            </w:tcBorders>
            <w:shd w:val="clear" w:color="auto" w:fill="auto"/>
            <w:noWrap/>
            <w:vAlign w:val="center"/>
          </w:tcPr>
          <w:p w14:paraId="40FBACC5">
            <w:pPr>
              <w:widowControl/>
              <w:jc w:val="left"/>
              <w:rPr>
                <w:rFonts w:ascii="Times New Roman" w:hAnsi="Times New Roman" w:eastAsia="仿宋_GB2312"/>
                <w:color w:val="000000"/>
                <w:kern w:val="0"/>
                <w:szCs w:val="21"/>
              </w:rPr>
            </w:pPr>
          </w:p>
        </w:tc>
        <w:tc>
          <w:tcPr>
            <w:tcW w:w="4638" w:type="dxa"/>
            <w:gridSpan w:val="4"/>
            <w:tcBorders>
              <w:top w:val="single" w:color="auto" w:sz="4" w:space="0"/>
              <w:left w:val="nil"/>
              <w:bottom w:val="single" w:color="auto" w:sz="4" w:space="0"/>
              <w:right w:val="single" w:color="000000" w:sz="4" w:space="0"/>
            </w:tcBorders>
            <w:shd w:val="clear" w:color="auto" w:fill="auto"/>
            <w:noWrap/>
            <w:vAlign w:val="center"/>
          </w:tcPr>
          <w:p w14:paraId="2D347CA7">
            <w:pPr>
              <w:widowControl/>
              <w:ind w:firstLine="420" w:firstLineChars="200"/>
              <w:jc w:val="lef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维护良好的市场秩序</w:t>
            </w:r>
            <w:r>
              <w:rPr>
                <w:rFonts w:hint="eastAsia" w:ascii="Times New Roman" w:hAnsi="Times New Roman" w:eastAsia="仿宋_GB2312"/>
                <w:color w:val="000000"/>
                <w:kern w:val="0"/>
                <w:szCs w:val="21"/>
                <w:lang w:eastAsia="zh-CN"/>
              </w:rPr>
              <w:t>。落实监管新办法，扩大预售资金监管覆盖面，提高资金监管缴存率。</w:t>
            </w:r>
            <w:r>
              <w:rPr>
                <w:rFonts w:ascii="Times New Roman" w:hAnsi="Times New Roman" w:eastAsia="仿宋_GB2312"/>
                <w:color w:val="000000"/>
                <w:kern w:val="0"/>
                <w:szCs w:val="21"/>
              </w:rPr>
              <w:t>　　</w:t>
            </w:r>
          </w:p>
        </w:tc>
        <w:tc>
          <w:tcPr>
            <w:tcW w:w="4226" w:type="dxa"/>
            <w:gridSpan w:val="4"/>
            <w:tcBorders>
              <w:top w:val="single" w:color="auto" w:sz="4" w:space="0"/>
              <w:left w:val="nil"/>
              <w:bottom w:val="single" w:color="auto" w:sz="4" w:space="0"/>
              <w:right w:val="single" w:color="auto" w:sz="4" w:space="0"/>
            </w:tcBorders>
            <w:shd w:val="clear" w:color="auto" w:fill="auto"/>
            <w:noWrap/>
            <w:vAlign w:val="center"/>
          </w:tcPr>
          <w:p w14:paraId="540A1700">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Times New Roman" w:hAnsi="Times New Roman" w:eastAsia="仿宋_GB2312"/>
                <w:color w:val="000000"/>
                <w:kern w:val="0"/>
                <w:szCs w:val="21"/>
              </w:rPr>
              <w:t>全年签订商品房预售资金监管协议106份，监管面积120.45万平方米；严格落实开发项目资本金管理，全年办理房地产项目手册25笔，收缴项目资本金2885万元，解控项目资本金1.54亿元。</w:t>
            </w:r>
          </w:p>
        </w:tc>
      </w:tr>
      <w:tr w14:paraId="15ECF4C0">
        <w:tblPrEx>
          <w:tblCellMar>
            <w:top w:w="0" w:type="dxa"/>
            <w:left w:w="108" w:type="dxa"/>
            <w:bottom w:w="0" w:type="dxa"/>
            <w:right w:w="108" w:type="dxa"/>
          </w:tblCellMar>
        </w:tblPrEx>
        <w:trPr>
          <w:trHeight w:val="868" w:hRule="atLeast"/>
          <w:jc w:val="center"/>
        </w:trPr>
        <w:tc>
          <w:tcPr>
            <w:tcW w:w="1135" w:type="dxa"/>
            <w:vMerge w:val="restart"/>
            <w:tcBorders>
              <w:top w:val="single" w:color="auto" w:sz="4" w:space="0"/>
              <w:left w:val="single" w:color="auto" w:sz="4" w:space="0"/>
              <w:right w:val="single" w:color="auto" w:sz="4" w:space="0"/>
            </w:tcBorders>
            <w:shd w:val="clear" w:color="auto" w:fill="auto"/>
            <w:noWrap/>
            <w:vAlign w:val="center"/>
          </w:tcPr>
          <w:p w14:paraId="43E84101">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绩</w:t>
            </w:r>
          </w:p>
          <w:p w14:paraId="7D7F64D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w:t>
            </w:r>
          </w:p>
          <w:p w14:paraId="7BDECE6D">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w:t>
            </w:r>
          </w:p>
          <w:p w14:paraId="0D06B77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标</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EFD14B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一级指标</w:t>
            </w: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5C0E128B">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二级指标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63C6B19E">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三级指标</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59157B7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年度</w:t>
            </w:r>
          </w:p>
          <w:p w14:paraId="7A788E85">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指标值</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EE3E3CF">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实际</w:t>
            </w:r>
          </w:p>
          <w:p w14:paraId="0A1076BA">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完成值</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69413003">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分值</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5AF901A7">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得分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021A37F8">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偏差原因</w:t>
            </w:r>
          </w:p>
          <w:p w14:paraId="0088C094">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分析及</w:t>
            </w:r>
          </w:p>
          <w:p w14:paraId="108E78D1">
            <w:pPr>
              <w:widowControl/>
              <w:spacing w:line="24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改进措施</w:t>
            </w:r>
          </w:p>
        </w:tc>
      </w:tr>
      <w:tr w14:paraId="46688D2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30626DA3">
            <w:pPr>
              <w:jc w:val="center"/>
              <w:rPr>
                <w:rFonts w:ascii="Times New Roman" w:hAnsi="Times New Roman" w:eastAsia="仿宋_GB2312"/>
                <w:color w:val="000000"/>
                <w:kern w:val="0"/>
                <w:szCs w:val="21"/>
              </w:rPr>
            </w:pPr>
          </w:p>
        </w:tc>
        <w:tc>
          <w:tcPr>
            <w:tcW w:w="992" w:type="dxa"/>
            <w:vMerge w:val="restart"/>
            <w:tcBorders>
              <w:top w:val="single" w:color="auto" w:sz="4" w:space="0"/>
              <w:left w:val="nil"/>
              <w:bottom w:val="single" w:color="auto" w:sz="4" w:space="0"/>
              <w:right w:val="single" w:color="auto" w:sz="4" w:space="0"/>
            </w:tcBorders>
            <w:shd w:val="clear" w:color="auto" w:fill="auto"/>
            <w:noWrap/>
            <w:vAlign w:val="center"/>
          </w:tcPr>
          <w:p w14:paraId="2ECADE66">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产出</w:t>
            </w:r>
          </w:p>
          <w:p w14:paraId="0649D1A4">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08D1AB2B">
            <w:pPr>
              <w:widowControl/>
              <w:jc w:val="center"/>
              <w:rPr>
                <w:rFonts w:ascii="Times New Roman" w:hAnsi="Times New Roman" w:eastAsia="仿宋_GB2312"/>
                <w:color w:val="000000"/>
                <w:kern w:val="0"/>
                <w:szCs w:val="21"/>
              </w:rPr>
            </w:pPr>
          </w:p>
          <w:p w14:paraId="4D7FE8A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(50分)</w:t>
            </w:r>
          </w:p>
        </w:tc>
        <w:tc>
          <w:tcPr>
            <w:tcW w:w="1138" w:type="dxa"/>
            <w:vMerge w:val="restart"/>
            <w:tcBorders>
              <w:top w:val="single" w:color="auto" w:sz="4" w:space="0"/>
              <w:left w:val="nil"/>
              <w:bottom w:val="single" w:color="auto" w:sz="4" w:space="0"/>
              <w:right w:val="single" w:color="auto" w:sz="4" w:space="0"/>
            </w:tcBorders>
            <w:shd w:val="clear" w:color="auto" w:fill="auto"/>
            <w:noWrap/>
            <w:vAlign w:val="center"/>
          </w:tcPr>
          <w:p w14:paraId="01893EBA">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数量指标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51BFD1DF">
            <w:pPr>
              <w:widowControl/>
              <w:jc w:val="center"/>
              <w:rPr>
                <w:rFonts w:hint="eastAsia" w:ascii="Times New Roman" w:hAnsi="Times New Roman" w:eastAsia="仿宋_GB2312"/>
                <w:color w:val="000000"/>
                <w:kern w:val="0"/>
                <w:szCs w:val="21"/>
                <w:lang w:eastAsia="zh-CN"/>
              </w:rPr>
            </w:pPr>
            <w:r>
              <w:rPr>
                <w:rFonts w:hint="eastAsia" w:ascii="宋体" w:hAnsi="宋体" w:eastAsia="宋体" w:cs="宋体"/>
                <w:color w:val="000000"/>
                <w:kern w:val="0"/>
                <w:sz w:val="18"/>
                <w:szCs w:val="18"/>
                <w:lang w:eastAsia="zh-CN"/>
              </w:rPr>
              <w:t>开工项目的</w:t>
            </w:r>
            <w:r>
              <w:rPr>
                <w:rFonts w:hint="eastAsia" w:ascii="宋体" w:hAnsi="宋体" w:eastAsia="宋体" w:cs="宋体"/>
                <w:color w:val="000000"/>
                <w:kern w:val="0"/>
                <w:sz w:val="18"/>
                <w:szCs w:val="18"/>
                <w:lang w:val="en-US" w:eastAsia="zh-CN"/>
              </w:rPr>
              <w:t>项目资本金</w:t>
            </w:r>
            <w:r>
              <w:rPr>
                <w:rFonts w:hint="eastAsia" w:ascii="宋体" w:hAnsi="宋体" w:eastAsia="宋体" w:cs="宋体"/>
                <w:color w:val="000000"/>
                <w:kern w:val="0"/>
                <w:sz w:val="18"/>
                <w:szCs w:val="18"/>
                <w:lang w:eastAsia="zh-CN"/>
              </w:rPr>
              <w:t>缴</w:t>
            </w:r>
            <w:r>
              <w:rPr>
                <w:rFonts w:hint="eastAsia" w:ascii="宋体" w:hAnsi="宋体" w:cs="宋体"/>
                <w:color w:val="000000"/>
                <w:kern w:val="0"/>
                <w:sz w:val="18"/>
                <w:szCs w:val="18"/>
                <w:lang w:eastAsia="zh-CN"/>
              </w:rPr>
              <w:t>纳</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29AE144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16AB335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3C7CD424">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FC4DD0C">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21E96634">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E2320B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02ABF41">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9D6A4FE">
            <w:pPr>
              <w:jc w:val="left"/>
              <w:rPr>
                <w:rFonts w:ascii="Times New Roman" w:hAnsi="Times New Roman" w:eastAsia="仿宋_GB2312"/>
                <w:color w:val="000000"/>
                <w:kern w:val="0"/>
                <w:szCs w:val="21"/>
              </w:rPr>
            </w:pPr>
          </w:p>
        </w:tc>
        <w:tc>
          <w:tcPr>
            <w:tcW w:w="1138" w:type="dxa"/>
            <w:vMerge w:val="continue"/>
            <w:tcBorders>
              <w:top w:val="single" w:color="auto" w:sz="4" w:space="0"/>
              <w:left w:val="nil"/>
              <w:bottom w:val="single" w:color="auto" w:sz="4" w:space="0"/>
              <w:right w:val="single" w:color="auto" w:sz="4" w:space="0"/>
            </w:tcBorders>
            <w:shd w:val="clear" w:color="auto" w:fill="auto"/>
            <w:noWrap/>
            <w:vAlign w:val="center"/>
          </w:tcPr>
          <w:p w14:paraId="26C40E6F">
            <w:pPr>
              <w:widowControl/>
              <w:jc w:val="center"/>
              <w:rPr>
                <w:rFonts w:ascii="Times New Roman" w:hAnsi="Times New Roman" w:eastAsia="仿宋_GB2312"/>
                <w:color w:val="000000"/>
                <w:kern w:val="0"/>
                <w:szCs w:val="21"/>
              </w:rPr>
            </w:pP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1AFFB30D">
            <w:pPr>
              <w:widowControl/>
              <w:jc w:val="center"/>
              <w:rPr>
                <w:rFonts w:hint="eastAsia" w:ascii="Times New Roman" w:hAnsi="Times New Roman" w:eastAsia="仿宋_GB2312"/>
                <w:color w:val="000000"/>
                <w:kern w:val="0"/>
                <w:szCs w:val="21"/>
                <w:lang w:eastAsia="zh-CN"/>
              </w:rPr>
            </w:pPr>
            <w:r>
              <w:rPr>
                <w:rFonts w:hint="eastAsia" w:ascii="宋体" w:hAnsi="宋体" w:eastAsia="宋体" w:cs="宋体"/>
                <w:color w:val="000000"/>
                <w:kern w:val="0"/>
                <w:sz w:val="18"/>
                <w:szCs w:val="18"/>
                <w:lang w:eastAsia="zh-CN"/>
              </w:rPr>
              <w:t>预售资金监管协议备案</w:t>
            </w:r>
            <w:r>
              <w:rPr>
                <w:rFonts w:hint="eastAsia" w:ascii="宋体" w:hAnsi="宋体" w:cs="宋体"/>
                <w:color w:val="000000"/>
                <w:kern w:val="0"/>
                <w:sz w:val="18"/>
                <w:szCs w:val="18"/>
                <w:lang w:eastAsia="zh-CN"/>
              </w:rPr>
              <w:t>率</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3F3F24B3">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98</w:t>
            </w:r>
            <w:r>
              <w:rPr>
                <w:rFonts w:hint="eastAsia" w:ascii="宋体" w:hAnsi="宋体" w:eastAsia="宋体" w:cs="宋体"/>
                <w:color w:val="000000"/>
                <w:kern w:val="0"/>
                <w:sz w:val="18"/>
                <w:szCs w:val="18"/>
                <w:lang w:eastAsia="zh-CN"/>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8A02C22">
            <w:pPr>
              <w:widowControl/>
              <w:ind w:firstLine="180" w:firstLineChars="100"/>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100</w:t>
            </w:r>
            <w:r>
              <w:rPr>
                <w:rFonts w:hint="eastAsia" w:ascii="宋体" w:hAnsi="宋体" w:eastAsia="宋体" w:cs="宋体"/>
                <w:color w:val="000000"/>
                <w:kern w:val="0"/>
                <w:sz w:val="18"/>
                <w:szCs w:val="18"/>
                <w:lang w:eastAsia="zh-CN"/>
              </w:rPr>
              <w:t>%</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7C50F8A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3618C1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5分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552482E6">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349623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2FEDA590">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766277F7">
            <w:pPr>
              <w:jc w:val="left"/>
              <w:rPr>
                <w:rFonts w:ascii="Times New Roman" w:hAnsi="Times New Roman" w:eastAsia="仿宋_GB2312"/>
                <w:color w:val="000000"/>
                <w:kern w:val="0"/>
                <w:szCs w:val="21"/>
              </w:rPr>
            </w:pP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0B71CFCE">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质量指标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2C9A3DE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房地产开发项目管理</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5673834B">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eastAsia="zh-CN"/>
              </w:rPr>
              <w:t>良好及以上</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10EDD41">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良好</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11E5673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96AE1F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735686D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1D19CAB">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BB0303F">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06BBFEF9">
            <w:pPr>
              <w:jc w:val="left"/>
              <w:rPr>
                <w:rFonts w:ascii="Times New Roman" w:hAnsi="Times New Roman" w:eastAsia="仿宋_GB2312"/>
                <w:color w:val="000000"/>
                <w:kern w:val="0"/>
                <w:szCs w:val="21"/>
              </w:rPr>
            </w:pPr>
          </w:p>
        </w:tc>
        <w:tc>
          <w:tcPr>
            <w:tcW w:w="1138" w:type="dxa"/>
            <w:vMerge w:val="restart"/>
            <w:tcBorders>
              <w:top w:val="single" w:color="auto" w:sz="4" w:space="0"/>
              <w:left w:val="nil"/>
              <w:bottom w:val="single" w:color="auto" w:sz="4" w:space="0"/>
              <w:right w:val="single" w:color="auto" w:sz="4" w:space="0"/>
            </w:tcBorders>
            <w:shd w:val="clear" w:color="auto" w:fill="auto"/>
            <w:noWrap/>
            <w:vAlign w:val="center"/>
          </w:tcPr>
          <w:p w14:paraId="785807E9">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664ED52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企业办理业务时效</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01C1B8E5">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3个工作日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09B93B15">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3个工作日</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43BCD86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78962B6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69C0F4EF">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9A01B65">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5054D7EB">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475FFF2E">
            <w:pPr>
              <w:jc w:val="left"/>
              <w:rPr>
                <w:rFonts w:ascii="Times New Roman" w:hAnsi="Times New Roman" w:eastAsia="仿宋_GB2312"/>
                <w:color w:val="000000"/>
                <w:kern w:val="0"/>
                <w:szCs w:val="21"/>
              </w:rPr>
            </w:pPr>
          </w:p>
        </w:tc>
        <w:tc>
          <w:tcPr>
            <w:tcW w:w="1138" w:type="dxa"/>
            <w:vMerge w:val="continue"/>
            <w:tcBorders>
              <w:top w:val="single" w:color="auto" w:sz="4" w:space="0"/>
              <w:left w:val="nil"/>
              <w:bottom w:val="single" w:color="auto" w:sz="4" w:space="0"/>
              <w:right w:val="single" w:color="auto" w:sz="4" w:space="0"/>
            </w:tcBorders>
            <w:shd w:val="clear" w:color="auto" w:fill="auto"/>
            <w:noWrap/>
            <w:vAlign w:val="center"/>
          </w:tcPr>
          <w:p w14:paraId="069F6F5F">
            <w:pPr>
              <w:widowControl/>
              <w:jc w:val="center"/>
              <w:rPr>
                <w:rFonts w:hint="eastAsia" w:ascii="宋体" w:hAnsi="宋体" w:eastAsia="宋体" w:cs="宋体"/>
                <w:color w:val="000000"/>
                <w:kern w:val="0"/>
                <w:sz w:val="18"/>
                <w:szCs w:val="18"/>
              </w:rPr>
            </w:pP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5F3D85BE">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项目资本金解控时效</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6AD4C00B">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5个工作日</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676337D">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bidi="ar-SA"/>
              </w:rPr>
              <w:t>5个工作日</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3E9BD72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45B11D8A">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04EEB3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AD6EE54">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194C92C">
            <w:pPr>
              <w:jc w:val="center"/>
              <w:rPr>
                <w:rFonts w:ascii="Times New Roman" w:hAnsi="Times New Roman" w:eastAsia="仿宋_GB2312"/>
                <w:color w:val="000000"/>
                <w:kern w:val="0"/>
                <w:szCs w:val="21"/>
              </w:rPr>
            </w:pPr>
          </w:p>
        </w:tc>
        <w:tc>
          <w:tcPr>
            <w:tcW w:w="992" w:type="dxa"/>
            <w:vMerge w:val="continue"/>
            <w:tcBorders>
              <w:top w:val="single" w:color="auto" w:sz="4" w:space="0"/>
              <w:left w:val="nil"/>
              <w:bottom w:val="single" w:color="auto" w:sz="4" w:space="0"/>
              <w:right w:val="single" w:color="auto" w:sz="4" w:space="0"/>
            </w:tcBorders>
            <w:shd w:val="clear" w:color="auto" w:fill="auto"/>
            <w:noWrap/>
            <w:vAlign w:val="center"/>
          </w:tcPr>
          <w:p w14:paraId="57D607A5">
            <w:pPr>
              <w:jc w:val="left"/>
              <w:rPr>
                <w:rFonts w:ascii="Times New Roman" w:hAnsi="Times New Roman" w:eastAsia="仿宋_GB2312"/>
                <w:color w:val="000000"/>
                <w:kern w:val="0"/>
                <w:szCs w:val="21"/>
              </w:rPr>
            </w:pP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7873F8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3649CBC1">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成本控制率</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5B3EE04D">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100</w:t>
            </w:r>
            <w:r>
              <w:rPr>
                <w:rFonts w:hint="eastAsia" w:ascii="宋体" w:hAnsi="宋体" w:eastAsia="宋体" w:cs="宋体"/>
                <w:color w:val="000000"/>
                <w:kern w:val="0"/>
                <w:sz w:val="18"/>
                <w:szCs w:val="18"/>
                <w:lang w:val="en-US" w:eastAsia="zh-CN"/>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87939E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100%</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5B32E04F">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5DDA41FC">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34A6EC8B">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3F6103E">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78343897">
            <w:pPr>
              <w:jc w:val="center"/>
              <w:rPr>
                <w:rFonts w:ascii="Times New Roman" w:hAnsi="Times New Roman" w:eastAsia="仿宋_GB2312"/>
                <w:color w:val="000000"/>
                <w:kern w:val="0"/>
                <w:szCs w:val="21"/>
              </w:rPr>
            </w:pP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57D6B3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效益</w:t>
            </w:r>
          </w:p>
          <w:p w14:paraId="126C9875">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27BABD9F">
            <w:pPr>
              <w:widowControl/>
              <w:jc w:val="left"/>
              <w:rPr>
                <w:rFonts w:ascii="Times New Roman" w:hAnsi="Times New Roman" w:eastAsia="仿宋_GB2312"/>
                <w:color w:val="000000"/>
                <w:kern w:val="0"/>
                <w:szCs w:val="21"/>
              </w:rPr>
            </w:pPr>
          </w:p>
          <w:p w14:paraId="213B8FE8">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（30分）</w:t>
            </w:r>
          </w:p>
          <w:p w14:paraId="0BA98E6E">
            <w:pPr>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4E638F8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w:t>
            </w:r>
          </w:p>
          <w:p w14:paraId="6B9FA7FC">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益指标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12A48866">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kern w:val="0"/>
                <w:sz w:val="18"/>
                <w:szCs w:val="18"/>
                <w:lang w:val="en-US" w:eastAsia="zh-CN"/>
              </w:rPr>
              <w:t>营商环境</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0C6AD8C4">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改善</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6B210DC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改善</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2CBCC7E7">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5631208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8096F5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1C0740BD">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11DE4A21">
            <w:pPr>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0D2016">
            <w:pPr>
              <w:jc w:val="left"/>
              <w:rPr>
                <w:rFonts w:ascii="Times New Roman" w:hAnsi="Times New Roman" w:eastAsia="仿宋_GB2312"/>
                <w:color w:val="000000"/>
                <w:kern w:val="0"/>
                <w:szCs w:val="21"/>
              </w:rPr>
            </w:pPr>
          </w:p>
        </w:tc>
        <w:tc>
          <w:tcPr>
            <w:tcW w:w="1138" w:type="dxa"/>
            <w:tcBorders>
              <w:top w:val="single" w:color="auto" w:sz="4" w:space="0"/>
              <w:left w:val="nil"/>
              <w:bottom w:val="single" w:color="auto" w:sz="4" w:space="0"/>
              <w:right w:val="single" w:color="auto" w:sz="4" w:space="0"/>
            </w:tcBorders>
            <w:shd w:val="clear" w:color="auto" w:fill="auto"/>
            <w:noWrap/>
            <w:vAlign w:val="center"/>
          </w:tcPr>
          <w:p w14:paraId="0602496B">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社会效</w:t>
            </w:r>
          </w:p>
          <w:p w14:paraId="580C6CBF">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益指标</w:t>
            </w:r>
          </w:p>
        </w:tc>
        <w:tc>
          <w:tcPr>
            <w:tcW w:w="1350" w:type="dxa"/>
            <w:tcBorders>
              <w:top w:val="single" w:color="auto" w:sz="4" w:space="0"/>
              <w:left w:val="nil"/>
              <w:bottom w:val="single" w:color="auto" w:sz="4" w:space="0"/>
              <w:right w:val="single" w:color="auto" w:sz="4" w:space="0"/>
            </w:tcBorders>
            <w:shd w:val="clear" w:color="auto" w:fill="auto"/>
            <w:noWrap/>
            <w:vAlign w:val="center"/>
          </w:tcPr>
          <w:p w14:paraId="54E99760">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预售商品房项目信访率</w:t>
            </w:r>
          </w:p>
        </w:tc>
        <w:tc>
          <w:tcPr>
            <w:tcW w:w="1158" w:type="dxa"/>
            <w:tcBorders>
              <w:top w:val="single" w:color="auto" w:sz="4" w:space="0"/>
              <w:left w:val="nil"/>
              <w:bottom w:val="single" w:color="auto" w:sz="4" w:space="0"/>
              <w:right w:val="single" w:color="auto" w:sz="4" w:space="0"/>
            </w:tcBorders>
            <w:shd w:val="clear" w:color="auto" w:fill="auto"/>
            <w:noWrap/>
            <w:vAlign w:val="center"/>
          </w:tcPr>
          <w:p w14:paraId="1E699DB9">
            <w:pPr>
              <w:widowControl/>
              <w:jc w:val="left"/>
              <w:rPr>
                <w:rFonts w:hint="eastAsia" w:ascii="Times New Roman" w:hAnsi="Times New Roman" w:eastAsia="仿宋_GB2312"/>
                <w:color w:val="000000"/>
                <w:kern w:val="0"/>
                <w:szCs w:val="21"/>
                <w:lang w:eastAsia="zh-CN"/>
              </w:rPr>
            </w:pPr>
            <w:r>
              <w:rPr>
                <w:rFonts w:ascii="Times New Roman" w:hAnsi="Times New Roman" w:eastAsia="仿宋_GB2312"/>
                <w:color w:val="000000"/>
                <w:kern w:val="0"/>
                <w:szCs w:val="21"/>
              </w:rPr>
              <w:t>　</w:t>
            </w:r>
            <w:r>
              <w:rPr>
                <w:rFonts w:hint="eastAsia" w:ascii="宋体" w:hAnsi="宋体" w:eastAsia="宋体" w:cs="宋体"/>
                <w:color w:val="000000"/>
                <w:kern w:val="0"/>
                <w:sz w:val="18"/>
                <w:szCs w:val="18"/>
              </w:rPr>
              <w:t>≦</w:t>
            </w:r>
            <w:r>
              <w:rPr>
                <w:rFonts w:hint="eastAsia" w:ascii="宋体" w:hAnsi="宋体" w:cs="宋体"/>
                <w:color w:val="000000"/>
                <w:kern w:val="0"/>
                <w:sz w:val="18"/>
                <w:szCs w:val="18"/>
                <w:lang w:val="en-US" w:eastAsia="zh-CN"/>
              </w:rPr>
              <w:t>10</w:t>
            </w:r>
            <w:r>
              <w:rPr>
                <w:rFonts w:hint="eastAsia" w:ascii="宋体" w:hAnsi="宋体" w:eastAsia="宋体" w:cs="宋体"/>
                <w:color w:val="000000"/>
                <w:kern w:val="0"/>
                <w:sz w:val="18"/>
                <w:szCs w:val="18"/>
                <w:lang w:val="en-US" w:eastAsia="zh-CN"/>
              </w:rPr>
              <w:t>%</w:t>
            </w:r>
          </w:p>
        </w:tc>
        <w:tc>
          <w:tcPr>
            <w:tcW w:w="1107" w:type="dxa"/>
            <w:tcBorders>
              <w:top w:val="single" w:color="auto" w:sz="4" w:space="0"/>
              <w:left w:val="nil"/>
              <w:bottom w:val="single" w:color="auto" w:sz="4" w:space="0"/>
              <w:right w:val="single" w:color="auto" w:sz="4" w:space="0"/>
            </w:tcBorders>
            <w:shd w:val="clear" w:color="auto" w:fill="auto"/>
            <w:noWrap/>
            <w:vAlign w:val="center"/>
          </w:tcPr>
          <w:p w14:paraId="4696F915">
            <w:pPr>
              <w:widowControl/>
              <w:jc w:val="center"/>
              <w:rPr>
                <w:rFonts w:ascii="Times New Roman" w:hAnsi="Times New Roman" w:eastAsia="仿宋_GB2312"/>
                <w:color w:val="000000"/>
                <w:kern w:val="0"/>
                <w:szCs w:val="21"/>
              </w:rPr>
            </w:pPr>
            <w:r>
              <w:rPr>
                <w:rFonts w:hint="eastAsia" w:ascii="宋体" w:hAnsi="宋体" w:eastAsia="宋体" w:cs="宋体"/>
                <w:color w:val="000000"/>
                <w:kern w:val="0"/>
                <w:sz w:val="18"/>
                <w:szCs w:val="18"/>
                <w:lang w:val="en-US" w:eastAsia="zh-CN"/>
              </w:rPr>
              <w:t>1%</w:t>
            </w:r>
          </w:p>
        </w:tc>
        <w:tc>
          <w:tcPr>
            <w:tcW w:w="885" w:type="dxa"/>
            <w:tcBorders>
              <w:top w:val="single" w:color="auto" w:sz="4" w:space="0"/>
              <w:left w:val="nil"/>
              <w:bottom w:val="single" w:color="auto" w:sz="4" w:space="0"/>
              <w:right w:val="single" w:color="auto" w:sz="4" w:space="0"/>
            </w:tcBorders>
            <w:shd w:val="clear" w:color="auto" w:fill="auto"/>
            <w:noWrap/>
            <w:vAlign w:val="center"/>
          </w:tcPr>
          <w:p w14:paraId="0A6A176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nil"/>
              <w:bottom w:val="single" w:color="auto" w:sz="4" w:space="0"/>
              <w:right w:val="single" w:color="auto" w:sz="4" w:space="0"/>
            </w:tcBorders>
            <w:shd w:val="clear" w:color="auto" w:fill="auto"/>
            <w:noWrap/>
            <w:vAlign w:val="center"/>
          </w:tcPr>
          <w:p w14:paraId="0FB09509">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nil"/>
              <w:bottom w:val="single" w:color="auto" w:sz="4" w:space="0"/>
              <w:right w:val="single" w:color="auto" w:sz="4" w:space="0"/>
            </w:tcBorders>
            <w:shd w:val="clear" w:color="auto" w:fill="auto"/>
            <w:noWrap/>
            <w:vAlign w:val="center"/>
          </w:tcPr>
          <w:p w14:paraId="4C8B68DE">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67A505D0">
        <w:tblPrEx>
          <w:tblCellMar>
            <w:top w:w="0" w:type="dxa"/>
            <w:left w:w="108" w:type="dxa"/>
            <w:bottom w:w="0" w:type="dxa"/>
            <w:right w:w="108" w:type="dxa"/>
          </w:tblCellMar>
        </w:tblPrEx>
        <w:trPr>
          <w:trHeight w:val="340" w:hRule="atLeast"/>
          <w:jc w:val="center"/>
        </w:trPr>
        <w:tc>
          <w:tcPr>
            <w:tcW w:w="1135" w:type="dxa"/>
            <w:vMerge w:val="continue"/>
            <w:tcBorders>
              <w:left w:val="single" w:color="auto" w:sz="4" w:space="0"/>
              <w:right w:val="single" w:color="auto" w:sz="4" w:space="0"/>
            </w:tcBorders>
            <w:shd w:val="clear" w:color="auto" w:fill="auto"/>
            <w:noWrap/>
            <w:vAlign w:val="center"/>
          </w:tcPr>
          <w:p w14:paraId="69771A44">
            <w:pPr>
              <w:widowControl/>
              <w:jc w:val="center"/>
              <w:rPr>
                <w:rFonts w:ascii="Times New Roman" w:hAnsi="Times New Roman" w:eastAsia="仿宋_GB2312"/>
                <w:color w:val="000000"/>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D888CFB">
            <w:pPr>
              <w:widowControl/>
              <w:jc w:val="left"/>
              <w:rPr>
                <w:rFonts w:ascii="Times New Roman" w:hAnsi="Times New Roman" w:eastAsia="仿宋_GB2312"/>
                <w:color w:val="000000"/>
                <w:kern w:val="0"/>
                <w:szCs w:val="21"/>
              </w:rPr>
            </w:pP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6A5B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96BF2">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市场秩序</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0FB5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平稳</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D8CCEE">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eastAsia="zh-CN"/>
              </w:rPr>
              <w:t>较</w:t>
            </w:r>
            <w:r>
              <w:rPr>
                <w:rFonts w:hint="eastAsia" w:ascii="宋体" w:hAnsi="宋体" w:eastAsia="宋体" w:cs="宋体"/>
                <w:color w:val="000000"/>
                <w:kern w:val="0"/>
                <w:sz w:val="18"/>
                <w:szCs w:val="18"/>
              </w:rPr>
              <w:t>平稳</w:t>
            </w:r>
          </w:p>
        </w:tc>
        <w:tc>
          <w:tcPr>
            <w:tcW w:w="8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468C6">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D5F2B">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CB3D7">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6B8097C">
        <w:tblPrEx>
          <w:tblCellMar>
            <w:top w:w="0" w:type="dxa"/>
            <w:left w:w="108" w:type="dxa"/>
            <w:bottom w:w="0" w:type="dxa"/>
            <w:right w:w="108" w:type="dxa"/>
          </w:tblCellMar>
        </w:tblPrEx>
        <w:trPr>
          <w:trHeight w:val="440" w:hRule="atLeast"/>
          <w:jc w:val="center"/>
        </w:trPr>
        <w:tc>
          <w:tcPr>
            <w:tcW w:w="1135" w:type="dxa"/>
            <w:vMerge w:val="continue"/>
            <w:tcBorders>
              <w:left w:val="single" w:color="auto" w:sz="4" w:space="0"/>
              <w:right w:val="single" w:color="auto" w:sz="4" w:space="0"/>
            </w:tcBorders>
            <w:shd w:val="clear" w:color="auto" w:fill="auto"/>
            <w:noWrap/>
            <w:vAlign w:val="center"/>
          </w:tcPr>
          <w:p w14:paraId="2FBC2DF6">
            <w:pPr>
              <w:jc w:val="left"/>
              <w:rPr>
                <w:rFonts w:ascii="Times New Roman" w:hAnsi="Times New Roman" w:eastAsia="仿宋_GB2312"/>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26661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满意度</w:t>
            </w:r>
          </w:p>
          <w:p w14:paraId="1DCBFE00">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指标</w:t>
            </w:r>
          </w:p>
          <w:p w14:paraId="5D51D4E2">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（10分）</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DC63B6">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FB1D2">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w:t>
            </w:r>
          </w:p>
        </w:tc>
        <w:tc>
          <w:tcPr>
            <w:tcW w:w="1158" w:type="dxa"/>
            <w:tcBorders>
              <w:top w:val="nil"/>
              <w:left w:val="nil"/>
              <w:bottom w:val="single" w:color="auto" w:sz="4" w:space="0"/>
              <w:right w:val="single" w:color="auto" w:sz="4" w:space="0"/>
            </w:tcBorders>
            <w:shd w:val="clear" w:color="auto" w:fill="auto"/>
            <w:noWrap/>
            <w:vAlign w:val="center"/>
          </w:tcPr>
          <w:p w14:paraId="428EF794">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≥9</w:t>
            </w:r>
            <w:r>
              <w:rPr>
                <w:rFonts w:hint="eastAsia" w:ascii="宋体" w:hAnsi="宋体" w:cs="宋体"/>
                <w:color w:val="000000"/>
                <w:kern w:val="0"/>
                <w:sz w:val="18"/>
                <w:szCs w:val="18"/>
                <w:lang w:val="en-US" w:eastAsia="zh-CN"/>
              </w:rPr>
              <w:t>5</w:t>
            </w:r>
            <w:r>
              <w:rPr>
                <w:rFonts w:hint="eastAsia" w:ascii="宋体" w:hAnsi="宋体" w:eastAsia="宋体" w:cs="宋体"/>
                <w:color w:val="000000"/>
                <w:kern w:val="0"/>
                <w:sz w:val="18"/>
                <w:szCs w:val="18"/>
              </w:rPr>
              <w:t>%</w:t>
            </w:r>
          </w:p>
        </w:tc>
        <w:tc>
          <w:tcPr>
            <w:tcW w:w="1107" w:type="dxa"/>
            <w:tcBorders>
              <w:top w:val="nil"/>
              <w:left w:val="nil"/>
              <w:bottom w:val="single" w:color="auto" w:sz="4" w:space="0"/>
              <w:right w:val="single" w:color="auto" w:sz="4" w:space="0"/>
            </w:tcBorders>
            <w:shd w:val="clear" w:color="auto" w:fill="auto"/>
            <w:noWrap/>
            <w:vAlign w:val="center"/>
          </w:tcPr>
          <w:p w14:paraId="743590CC">
            <w:pPr>
              <w:widowControl/>
              <w:jc w:val="center"/>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99</w:t>
            </w:r>
            <w:r>
              <w:rPr>
                <w:rFonts w:hint="eastAsia" w:ascii="宋体" w:hAnsi="宋体" w:eastAsia="宋体" w:cs="宋体"/>
                <w:color w:val="000000"/>
                <w:kern w:val="0"/>
                <w:sz w:val="18"/>
                <w:szCs w:val="18"/>
                <w:lang w:val="en-US" w:eastAsia="zh-CN"/>
              </w:rPr>
              <w:t>%</w:t>
            </w:r>
          </w:p>
        </w:tc>
        <w:tc>
          <w:tcPr>
            <w:tcW w:w="885" w:type="dxa"/>
            <w:tcBorders>
              <w:top w:val="nil"/>
              <w:left w:val="nil"/>
              <w:bottom w:val="single" w:color="auto" w:sz="4" w:space="0"/>
              <w:right w:val="single" w:color="auto" w:sz="4" w:space="0"/>
            </w:tcBorders>
            <w:shd w:val="clear" w:color="auto" w:fill="auto"/>
            <w:noWrap/>
            <w:vAlign w:val="center"/>
          </w:tcPr>
          <w:p w14:paraId="3181FA00">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963" w:type="dxa"/>
            <w:tcBorders>
              <w:top w:val="nil"/>
              <w:left w:val="nil"/>
              <w:bottom w:val="single" w:color="auto" w:sz="4" w:space="0"/>
              <w:right w:val="single" w:color="auto" w:sz="4" w:space="0"/>
            </w:tcBorders>
            <w:shd w:val="clear" w:color="auto" w:fill="auto"/>
            <w:noWrap/>
            <w:vAlign w:val="center"/>
          </w:tcPr>
          <w:p w14:paraId="07EE9648">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10分</w:t>
            </w:r>
          </w:p>
        </w:tc>
        <w:tc>
          <w:tcPr>
            <w:tcW w:w="1271" w:type="dxa"/>
            <w:tcBorders>
              <w:top w:val="nil"/>
              <w:left w:val="nil"/>
              <w:bottom w:val="single" w:color="auto" w:sz="4" w:space="0"/>
              <w:right w:val="single" w:color="auto" w:sz="4" w:space="0"/>
            </w:tcBorders>
            <w:shd w:val="clear" w:color="auto" w:fill="auto"/>
            <w:noWrap/>
            <w:vAlign w:val="center"/>
          </w:tcPr>
          <w:p w14:paraId="3D1EA7B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14:paraId="37F6EDFC">
        <w:tblPrEx>
          <w:tblCellMar>
            <w:top w:w="0" w:type="dxa"/>
            <w:left w:w="108" w:type="dxa"/>
            <w:bottom w:w="0" w:type="dxa"/>
            <w:right w:w="108" w:type="dxa"/>
          </w:tblCellMar>
        </w:tblPrEx>
        <w:trPr>
          <w:trHeight w:val="340" w:hRule="atLeast"/>
          <w:jc w:val="center"/>
        </w:trPr>
        <w:tc>
          <w:tcPr>
            <w:tcW w:w="6880"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14:paraId="11543687">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总分</w:t>
            </w:r>
          </w:p>
        </w:tc>
        <w:tc>
          <w:tcPr>
            <w:tcW w:w="885" w:type="dxa"/>
            <w:tcBorders>
              <w:top w:val="nil"/>
              <w:left w:val="nil"/>
              <w:bottom w:val="single" w:color="auto" w:sz="4" w:space="0"/>
              <w:right w:val="single" w:color="auto" w:sz="4" w:space="0"/>
            </w:tcBorders>
            <w:shd w:val="clear" w:color="auto" w:fill="auto"/>
            <w:noWrap/>
            <w:vAlign w:val="center"/>
          </w:tcPr>
          <w:p w14:paraId="4E11FB68">
            <w:pPr>
              <w:widowControl/>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100</w:t>
            </w:r>
          </w:p>
        </w:tc>
        <w:tc>
          <w:tcPr>
            <w:tcW w:w="963" w:type="dxa"/>
            <w:tcBorders>
              <w:top w:val="nil"/>
              <w:left w:val="nil"/>
              <w:bottom w:val="single" w:color="auto" w:sz="4" w:space="0"/>
              <w:right w:val="single" w:color="auto" w:sz="4" w:space="0"/>
            </w:tcBorders>
            <w:shd w:val="clear" w:color="auto" w:fill="auto"/>
            <w:noWrap/>
            <w:vAlign w:val="center"/>
          </w:tcPr>
          <w:p w14:paraId="583B0315">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100</w:t>
            </w:r>
          </w:p>
        </w:tc>
        <w:tc>
          <w:tcPr>
            <w:tcW w:w="1271" w:type="dxa"/>
            <w:tcBorders>
              <w:top w:val="nil"/>
              <w:left w:val="nil"/>
              <w:bottom w:val="single" w:color="auto" w:sz="4" w:space="0"/>
              <w:right w:val="single" w:color="auto" w:sz="4" w:space="0"/>
            </w:tcBorders>
            <w:shd w:val="clear" w:color="auto" w:fill="auto"/>
            <w:noWrap/>
            <w:vAlign w:val="center"/>
          </w:tcPr>
          <w:p w14:paraId="6ABB3063">
            <w:pPr>
              <w:widowControl/>
              <w:jc w:val="lef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bl>
    <w:p w14:paraId="16B40699">
      <w:pPr>
        <w:widowControl/>
        <w:jc w:val="left"/>
      </w:pPr>
      <w:r>
        <w:rPr>
          <w:rFonts w:ascii="Times New Roman" w:hAnsi="Times New Roman" w:eastAsia="仿宋_GB2312"/>
          <w:sz w:val="24"/>
        </w:rPr>
        <w:t>填表人：        填报日期：        联系电话：     单位负责人签字：</w:t>
      </w:r>
      <w:r>
        <w:rPr>
          <w:rFonts w:ascii="Times New Roman" w:hAnsi="Times New Roman" w:eastAsia="Times New Roman"/>
          <w:kern w:val="0"/>
          <w:sz w:val="22"/>
        </w:rPr>
        <w:t xml:space="preserve">       </w:t>
      </w:r>
    </w:p>
    <w:sectPr>
      <w:pgSz w:w="11906" w:h="16838"/>
      <w:pgMar w:top="1213" w:right="1689" w:bottom="1213"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PMingLiU">
    <w:altName w:val="Microsoft JhengHei UI"/>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79C8E"/>
    <w:multiLevelType w:val="singleLevel"/>
    <w:tmpl w:val="98479C8E"/>
    <w:lvl w:ilvl="0" w:tentative="0">
      <w:start w:val="1"/>
      <w:numFmt w:val="chineseCounting"/>
      <w:suff w:val="nothing"/>
      <w:lvlText w:val="（%1）"/>
      <w:lvlJc w:val="left"/>
      <w:rPr>
        <w:rFonts w:hint="eastAsia"/>
      </w:rPr>
    </w:lvl>
  </w:abstractNum>
  <w:abstractNum w:abstractNumId="1">
    <w:nsid w:val="EE501C41"/>
    <w:multiLevelType w:val="singleLevel"/>
    <w:tmpl w:val="EE501C4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00000000"/>
    <w:rsid w:val="00C0305B"/>
    <w:rsid w:val="068852DC"/>
    <w:rsid w:val="078106E1"/>
    <w:rsid w:val="0F313FA3"/>
    <w:rsid w:val="135C3B86"/>
    <w:rsid w:val="14D27EEF"/>
    <w:rsid w:val="189E3171"/>
    <w:rsid w:val="1E490D60"/>
    <w:rsid w:val="2B122C5C"/>
    <w:rsid w:val="2B5B1F6A"/>
    <w:rsid w:val="2FC843D9"/>
    <w:rsid w:val="30894AF7"/>
    <w:rsid w:val="33980E45"/>
    <w:rsid w:val="34042756"/>
    <w:rsid w:val="34881C5F"/>
    <w:rsid w:val="374D30FD"/>
    <w:rsid w:val="374F4AEC"/>
    <w:rsid w:val="3D2F3B41"/>
    <w:rsid w:val="42406392"/>
    <w:rsid w:val="47811D3F"/>
    <w:rsid w:val="56D22419"/>
    <w:rsid w:val="6B7E4876"/>
    <w:rsid w:val="7A340A6B"/>
    <w:rsid w:val="7D0D160C"/>
    <w:rsid w:val="7F5326DD"/>
    <w:rsid w:val="7FC5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after="120" w:afterAutospacing="0" w:line="480" w:lineRule="auto"/>
      <w:ind w:left="420" w:leftChars="200"/>
    </w:pPr>
  </w:style>
  <w:style w:type="paragraph" w:styleId="5">
    <w:name w:val="List Paragraph"/>
    <w:basedOn w:val="1"/>
    <w:autoRedefine/>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6521</Words>
  <Characters>7452</Characters>
  <Lines>0</Lines>
  <Paragraphs>0</Paragraphs>
  <TotalTime>1</TotalTime>
  <ScaleCrop>false</ScaleCrop>
  <LinksUpToDate>false</LinksUpToDate>
  <CharactersWithSpaces>7727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2021-05-20T01:44:00Z</dcterms:created>
  <dc:creator>Administrator</dc:creator>
  <cp:lastModifiedBy>邓婷</cp:lastModifiedBy>
  <cp:lastPrinted>2023-04-06T03:21:00Z</cp:lastPrinted>
  <dcterms:modified xsi:type="dcterms:W3CDTF">2024-10-30T01:50:42Z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7E44E25C8E9E42619C02912DD26BC73F</vt:lpwstr>
  </property>
</Properties>
</file>