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ACFC87">
      <w:pPr>
        <w:jc w:val="center"/>
        <w:rPr>
          <w:rFonts w:ascii="Times New Roman" w:hAnsi="Times New Roman" w:eastAsia="方正小标宋简体"/>
          <w:sz w:val="48"/>
          <w:szCs w:val="48"/>
        </w:rPr>
      </w:pPr>
      <w:bookmarkStart w:id="0" w:name="_GoBack"/>
      <w:bookmarkEnd w:id="0"/>
    </w:p>
    <w:p w14:paraId="4EB2F076">
      <w:pPr>
        <w:jc w:val="center"/>
        <w:rPr>
          <w:rFonts w:ascii="Times New Roman" w:hAnsi="Times New Roman" w:eastAsia="方正小标宋简体"/>
          <w:sz w:val="48"/>
          <w:szCs w:val="48"/>
        </w:rPr>
      </w:pPr>
    </w:p>
    <w:p w14:paraId="092F0AE0">
      <w:pPr>
        <w:jc w:val="center"/>
        <w:rPr>
          <w:rFonts w:ascii="Times New Roman" w:hAnsi="Times New Roman" w:eastAsia="方正小标宋简体"/>
          <w:sz w:val="48"/>
          <w:szCs w:val="48"/>
        </w:rPr>
      </w:pPr>
    </w:p>
    <w:p w14:paraId="3E7F549D">
      <w:pPr>
        <w:rPr>
          <w:rFonts w:ascii="Times New Roman" w:hAnsi="Times New Roman" w:eastAsia="方正小标宋简体"/>
          <w:sz w:val="48"/>
          <w:szCs w:val="48"/>
        </w:rPr>
      </w:pPr>
    </w:p>
    <w:p w14:paraId="5E751C64">
      <w:pPr>
        <w:jc w:val="center"/>
        <w:rPr>
          <w:rFonts w:ascii="Times New Roman" w:hAnsi="Times New Roman" w:eastAsia="方正小标宋简体"/>
          <w:sz w:val="48"/>
          <w:szCs w:val="48"/>
        </w:rPr>
      </w:pPr>
      <w:r>
        <w:rPr>
          <w:rFonts w:ascii="Times New Roman" w:hAnsi="Times New Roman" w:eastAsia="方正小标宋简体"/>
          <w:sz w:val="48"/>
          <w:szCs w:val="48"/>
        </w:rPr>
        <w:t>部门整体支出绩效自评报告</w:t>
      </w:r>
    </w:p>
    <w:p w14:paraId="6EAFDC2E">
      <w:pPr>
        <w:jc w:val="center"/>
        <w:rPr>
          <w:rFonts w:ascii="Times New Roman" w:hAnsi="Times New Roman" w:eastAsia="方正小标宋简体"/>
          <w:sz w:val="36"/>
          <w:szCs w:val="36"/>
        </w:rPr>
      </w:pPr>
      <w:r>
        <w:rPr>
          <w:rFonts w:hint="eastAsia" w:ascii="Times New Roman" w:hAnsi="Times New Roman" w:eastAsia="方正小标宋简体"/>
          <w:sz w:val="36"/>
          <w:szCs w:val="36"/>
        </w:rPr>
        <w:t>（</w:t>
      </w:r>
      <w:r>
        <w:rPr>
          <w:rFonts w:ascii="Times New Roman" w:hAnsi="Times New Roman" w:eastAsia="方正小标宋简体"/>
          <w:sz w:val="36"/>
          <w:szCs w:val="36"/>
        </w:rPr>
        <w:t>202</w:t>
      </w:r>
      <w:r>
        <w:rPr>
          <w:rFonts w:hint="eastAsia" w:ascii="Times New Roman" w:hAnsi="Times New Roman" w:eastAsia="方正小标宋简体"/>
          <w:sz w:val="36"/>
          <w:szCs w:val="36"/>
          <w:lang w:val="en-US" w:eastAsia="zh-CN"/>
        </w:rPr>
        <w:t>3</w:t>
      </w:r>
      <w:r>
        <w:rPr>
          <w:rFonts w:ascii="Times New Roman" w:hAnsi="Times New Roman" w:eastAsia="方正小标宋简体"/>
          <w:sz w:val="36"/>
          <w:szCs w:val="36"/>
        </w:rPr>
        <w:t>年度</w:t>
      </w:r>
      <w:r>
        <w:rPr>
          <w:rFonts w:hint="eastAsia" w:ascii="Times New Roman" w:hAnsi="Times New Roman" w:eastAsia="方正小标宋简体"/>
          <w:sz w:val="36"/>
          <w:szCs w:val="36"/>
        </w:rPr>
        <w:t>）</w:t>
      </w:r>
    </w:p>
    <w:p w14:paraId="29C928C2">
      <w:pPr>
        <w:jc w:val="center"/>
        <w:rPr>
          <w:rFonts w:ascii="Times New Roman" w:hAnsi="Times New Roman" w:eastAsia="黑体"/>
          <w:sz w:val="32"/>
          <w:szCs w:val="32"/>
        </w:rPr>
      </w:pPr>
    </w:p>
    <w:p w14:paraId="7730E654">
      <w:pPr>
        <w:jc w:val="center"/>
        <w:rPr>
          <w:rFonts w:ascii="Times New Roman" w:hAnsi="Times New Roman" w:eastAsia="黑体"/>
          <w:sz w:val="32"/>
          <w:szCs w:val="32"/>
        </w:rPr>
      </w:pPr>
    </w:p>
    <w:p w14:paraId="57F62525">
      <w:pPr>
        <w:jc w:val="center"/>
        <w:rPr>
          <w:rFonts w:ascii="Times New Roman" w:hAnsi="Times New Roman" w:eastAsia="黑体"/>
          <w:sz w:val="32"/>
          <w:szCs w:val="32"/>
        </w:rPr>
      </w:pPr>
    </w:p>
    <w:p w14:paraId="1AFF6480">
      <w:pPr>
        <w:jc w:val="center"/>
        <w:rPr>
          <w:rFonts w:ascii="Times New Roman" w:hAnsi="Times New Roman" w:eastAsia="黑体"/>
          <w:sz w:val="32"/>
          <w:szCs w:val="32"/>
        </w:rPr>
      </w:pPr>
    </w:p>
    <w:p w14:paraId="140FB0F5">
      <w:pPr>
        <w:rPr>
          <w:rFonts w:ascii="Times New Roman" w:hAnsi="Times New Roman" w:eastAsia="黑体"/>
          <w:sz w:val="32"/>
          <w:szCs w:val="32"/>
        </w:rPr>
      </w:pPr>
    </w:p>
    <w:p w14:paraId="0A075583">
      <w:pPr>
        <w:jc w:val="center"/>
        <w:rPr>
          <w:rFonts w:ascii="Times New Roman" w:hAnsi="Times New Roman"/>
          <w:sz w:val="36"/>
          <w:szCs w:val="36"/>
        </w:rPr>
      </w:pPr>
    </w:p>
    <w:p w14:paraId="44818244">
      <w:pPr>
        <w:jc w:val="center"/>
        <w:rPr>
          <w:rFonts w:ascii="Times New Roman" w:hAnsi="Times New Roman"/>
          <w:sz w:val="36"/>
          <w:szCs w:val="36"/>
        </w:rPr>
      </w:pPr>
    </w:p>
    <w:p w14:paraId="2A592139">
      <w:pPr>
        <w:jc w:val="center"/>
        <w:rPr>
          <w:rFonts w:ascii="Times New Roman" w:hAnsi="Times New Roman"/>
          <w:sz w:val="36"/>
          <w:szCs w:val="36"/>
        </w:rPr>
      </w:pPr>
    </w:p>
    <w:p w14:paraId="4EB3E8C8">
      <w:pPr>
        <w:ind w:firstLine="1080" w:firstLineChars="300"/>
        <w:rPr>
          <w:rFonts w:hint="eastAsia"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单位名称</w:t>
      </w:r>
      <w:r>
        <w:rPr>
          <w:rFonts w:hint="eastAsia" w:ascii="Times New Roman" w:hAnsi="Times New Roman"/>
          <w:sz w:val="36"/>
          <w:szCs w:val="36"/>
        </w:rPr>
        <w:t>：（盖章）衡阳市住房和城乡建设信息中心</w:t>
      </w:r>
    </w:p>
    <w:p w14:paraId="6D49729F">
      <w:pPr>
        <w:ind w:firstLine="1080" w:firstLineChars="300"/>
        <w:rPr>
          <w:rFonts w:ascii="Times New Roman" w:hAnsi="Times New Roman" w:eastAsia="黑体"/>
          <w:sz w:val="36"/>
          <w:szCs w:val="36"/>
        </w:rPr>
      </w:pPr>
      <w:r>
        <w:rPr>
          <w:rFonts w:hint="eastAsia" w:ascii="Times New Roman" w:hAnsi="Times New Roman"/>
          <w:sz w:val="36"/>
          <w:szCs w:val="36"/>
        </w:rPr>
        <w:t>主要负责人签字</w:t>
      </w:r>
      <w:r>
        <w:rPr>
          <w:rFonts w:ascii="Times New Roman" w:hAnsi="Times New Roman"/>
          <w:sz w:val="36"/>
          <w:szCs w:val="36"/>
        </w:rPr>
        <w:t>：</w:t>
      </w:r>
    </w:p>
    <w:p w14:paraId="61B33360">
      <w:pPr>
        <w:jc w:val="center"/>
        <w:rPr>
          <w:rFonts w:ascii="Times New Roman" w:hAnsi="Times New Roman" w:eastAsia="黑体"/>
          <w:sz w:val="36"/>
          <w:szCs w:val="36"/>
        </w:rPr>
      </w:pPr>
    </w:p>
    <w:p w14:paraId="2FF63F44">
      <w:pPr>
        <w:jc w:val="center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202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4</w:t>
      </w:r>
      <w:r>
        <w:rPr>
          <w:rFonts w:ascii="Times New Roman" w:hAnsi="Times New Roman" w:eastAsia="黑体"/>
          <w:sz w:val="32"/>
          <w:szCs w:val="32"/>
        </w:rPr>
        <w:t xml:space="preserve">年  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黑体"/>
          <w:sz w:val="32"/>
          <w:szCs w:val="32"/>
        </w:rPr>
        <w:t xml:space="preserve"> 月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27</w:t>
      </w:r>
      <w:r>
        <w:rPr>
          <w:rFonts w:ascii="Times New Roman" w:hAnsi="Times New Roman" w:eastAsia="黑体"/>
          <w:sz w:val="32"/>
          <w:szCs w:val="32"/>
        </w:rPr>
        <w:t xml:space="preserve"> 日</w:t>
      </w:r>
    </w:p>
    <w:p w14:paraId="2A7642B3">
      <w:pPr>
        <w:jc w:val="center"/>
        <w:rPr>
          <w:rFonts w:ascii="Times New Roman" w:hAnsi="Times New Roman" w:eastAsia="黑体"/>
          <w:sz w:val="32"/>
          <w:szCs w:val="32"/>
        </w:rPr>
      </w:pPr>
    </w:p>
    <w:p w14:paraId="2DDF4A83">
      <w:pPr>
        <w:spacing w:line="600" w:lineRule="exact"/>
        <w:rPr>
          <w:rFonts w:ascii="Times New Roman" w:hAnsi="Times New Roman" w:eastAsia="方正小标宋简体"/>
          <w:sz w:val="44"/>
          <w:szCs w:val="44"/>
        </w:rPr>
      </w:pPr>
    </w:p>
    <w:p w14:paraId="48F4A805">
      <w:pPr>
        <w:spacing w:line="600" w:lineRule="exact"/>
        <w:jc w:val="center"/>
        <w:rPr>
          <w:rFonts w:ascii="Times New Roman" w:hAnsi="Times New Roman" w:eastAsia="方正小标宋简体"/>
          <w:sz w:val="44"/>
          <w:szCs w:val="44"/>
        </w:rPr>
      </w:pPr>
    </w:p>
    <w:p w14:paraId="4B3BC7F4">
      <w:pPr>
        <w:spacing w:line="60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部门整体支出绩效自评报告</w:t>
      </w:r>
    </w:p>
    <w:p w14:paraId="653944B4">
      <w:pPr>
        <w:spacing w:line="600" w:lineRule="exact"/>
        <w:rPr>
          <w:rFonts w:ascii="Times New Roman" w:hAnsi="Times New Roman" w:eastAsia="楷体_GB2312"/>
          <w:sz w:val="32"/>
          <w:szCs w:val="32"/>
        </w:rPr>
      </w:pPr>
    </w:p>
    <w:p w14:paraId="2053F249">
      <w:pPr>
        <w:rPr>
          <w:rFonts w:ascii="Times New Roman" w:hAnsi="Times New Roman" w:eastAsia="方正小标宋_GBK"/>
          <w:sz w:val="32"/>
          <w:szCs w:val="32"/>
        </w:rPr>
      </w:pPr>
    </w:p>
    <w:p w14:paraId="6ED24273">
      <w:pPr>
        <w:pStyle w:val="19"/>
        <w:widowControl/>
        <w:numPr>
          <w:ilvl w:val="0"/>
          <w:numId w:val="1"/>
        </w:numPr>
        <w:ind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部门、单位基本情况</w:t>
      </w:r>
    </w:p>
    <w:p w14:paraId="23812158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衡阳市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住房和城乡建设局信息中心</w:t>
      </w:r>
      <w:r>
        <w:rPr>
          <w:rFonts w:hint="eastAsia" w:ascii="仿宋" w:hAnsi="仿宋" w:eastAsia="仿宋" w:cs="仿宋"/>
          <w:sz w:val="32"/>
          <w:szCs w:val="32"/>
        </w:rPr>
        <w:t>隶属市住房和城乡建设局为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自收自支</w:t>
      </w:r>
      <w:r>
        <w:rPr>
          <w:rFonts w:hint="eastAsia" w:ascii="仿宋" w:hAnsi="仿宋" w:eastAsia="仿宋" w:cs="仿宋"/>
          <w:sz w:val="32"/>
          <w:szCs w:val="32"/>
        </w:rPr>
        <w:t>事业单位，主要负责拟订市住房和城乡建设信息化工作中长期规划和年度计划，并组织实施；负责局机关网站、业务管理系统、办公自动化系统、全市城镇个人住房信息系统、市住房和城乡建设基础数据资源中心的建设、维护和管理；负责全市房产市场分析、预警预报、政策研究的信息和技术服务工作。</w:t>
      </w:r>
    </w:p>
    <w:p w14:paraId="3AEF047B">
      <w:pPr>
        <w:autoSpaceDE w:val="0"/>
        <w:autoSpaceDN w:val="0"/>
        <w:adjustRightInd w:val="0"/>
        <w:spacing w:line="520" w:lineRule="exact"/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2．机构情况，202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年末本单位设综合科、技术科、信息科。</w:t>
      </w:r>
    </w:p>
    <w:p w14:paraId="05DCC72C">
      <w:pPr>
        <w:pStyle w:val="19"/>
        <w:widowControl/>
        <w:ind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二、一般公共预算支出情况</w:t>
      </w:r>
    </w:p>
    <w:p w14:paraId="1DA815AC">
      <w:pPr>
        <w:pStyle w:val="19"/>
        <w:widowControl/>
        <w:ind w:firstLine="643"/>
        <w:rPr>
          <w:rFonts w:eastAsia="楷体"/>
          <w:b/>
          <w:sz w:val="32"/>
          <w:szCs w:val="32"/>
        </w:rPr>
      </w:pPr>
      <w:r>
        <w:rPr>
          <w:rFonts w:eastAsia="楷体"/>
          <w:b/>
          <w:sz w:val="32"/>
          <w:szCs w:val="32"/>
        </w:rPr>
        <w:t>（一）支出情况</w:t>
      </w:r>
    </w:p>
    <w:p w14:paraId="7B888F12">
      <w:pPr>
        <w:pStyle w:val="9"/>
        <w:spacing w:before="0" w:beforeAutospacing="0" w:after="0" w:afterAutospacing="0" w:line="675" w:lineRule="atLeast"/>
        <w:ind w:firstLine="320" w:firstLineChars="100"/>
        <w:rPr>
          <w:rFonts w:ascii="Helvetica" w:hAnsi="Helvetica" w:cs="Helvetica"/>
          <w:color w:val="000000"/>
          <w:sz w:val="32"/>
          <w:szCs w:val="32"/>
          <w:highlight w:val="none"/>
        </w:rPr>
      </w:pPr>
      <w:r>
        <w:rPr>
          <w:rFonts w:hint="eastAsia" w:ascii="Helvetica" w:hAnsi="Helvetica" w:eastAsia="Helvetica" w:cs="Helvetica"/>
          <w:color w:val="000000"/>
          <w:sz w:val="32"/>
          <w:szCs w:val="32"/>
        </w:rPr>
        <w:t>202</w:t>
      </w:r>
      <w:r>
        <w:rPr>
          <w:rFonts w:hint="eastAsia" w:ascii="Helvetica" w:hAnsi="Helvetica" w:cs="Helvetica"/>
          <w:color w:val="000000"/>
          <w:sz w:val="32"/>
          <w:szCs w:val="32"/>
          <w:lang w:val="en-US" w:eastAsia="zh-CN"/>
        </w:rPr>
        <w:t>3</w:t>
      </w:r>
      <w:r>
        <w:rPr>
          <w:rFonts w:hint="eastAsia" w:ascii="Helvetica" w:hAnsi="Helvetica" w:eastAsia="Helvetica" w:cs="Helvetica"/>
          <w:color w:val="000000"/>
          <w:sz w:val="32"/>
          <w:szCs w:val="32"/>
        </w:rPr>
        <w:t>年度</w:t>
      </w:r>
      <w:r>
        <w:rPr>
          <w:rFonts w:hint="eastAsia" w:ascii="Helvetica" w:hAnsi="Helvetica" w:cs="Helvetica"/>
          <w:color w:val="000000"/>
          <w:sz w:val="32"/>
          <w:szCs w:val="32"/>
        </w:rPr>
        <w:t>1-12月份</w:t>
      </w:r>
      <w:r>
        <w:rPr>
          <w:rFonts w:hint="eastAsia" w:ascii="Helvetica" w:hAnsi="Helvetica" w:cs="Helvetica"/>
          <w:color w:val="000000"/>
          <w:sz w:val="32"/>
          <w:szCs w:val="32"/>
          <w:lang w:val="en-US" w:eastAsia="zh-CN"/>
        </w:rPr>
        <w:t>基本</w:t>
      </w:r>
      <w:r>
        <w:rPr>
          <w:rFonts w:hint="eastAsia" w:ascii="Helvetica" w:hAnsi="Helvetica" w:eastAsia="Helvetica" w:cs="Helvetica"/>
          <w:color w:val="000000"/>
          <w:sz w:val="32"/>
          <w:szCs w:val="32"/>
        </w:rPr>
        <w:t>支出</w:t>
      </w:r>
      <w:r>
        <w:rPr>
          <w:rFonts w:hint="eastAsia" w:ascii="Helvetica" w:hAnsi="Helvetica" w:cs="Helvetica"/>
          <w:color w:val="000000"/>
          <w:sz w:val="32"/>
          <w:szCs w:val="32"/>
          <w:lang w:val="en-US" w:eastAsia="zh-CN"/>
        </w:rPr>
        <w:t>239.61</w:t>
      </w:r>
      <w:r>
        <w:rPr>
          <w:rFonts w:hint="eastAsia" w:ascii="Helvetica" w:hAnsi="Helvetica" w:eastAsia="Helvetica" w:cs="Helvetica"/>
          <w:color w:val="000000"/>
          <w:sz w:val="32"/>
          <w:szCs w:val="32"/>
        </w:rPr>
        <w:t xml:space="preserve">万元，占本年支出合计的 </w:t>
      </w:r>
      <w:r>
        <w:rPr>
          <w:rFonts w:hint="eastAsia" w:ascii="Helvetica" w:hAnsi="Helvetica" w:cs="Helvetica"/>
          <w:color w:val="000000"/>
          <w:sz w:val="32"/>
          <w:szCs w:val="32"/>
          <w:lang w:val="en-US" w:eastAsia="zh-CN"/>
        </w:rPr>
        <w:t>64.85</w:t>
      </w:r>
      <w:r>
        <w:rPr>
          <w:rFonts w:hint="eastAsia" w:ascii="Helvetica" w:hAnsi="Helvetica" w:cs="Helvetica"/>
          <w:color w:val="000000"/>
          <w:sz w:val="32"/>
          <w:szCs w:val="32"/>
        </w:rPr>
        <w:t>%</w:t>
      </w:r>
      <w:r>
        <w:rPr>
          <w:rFonts w:hint="eastAsia" w:ascii="Helvetica" w:hAnsi="Helvetica" w:eastAsia="Helvetica" w:cs="Helvetica"/>
          <w:color w:val="000000"/>
          <w:sz w:val="32"/>
          <w:szCs w:val="32"/>
        </w:rPr>
        <w:t>，</w:t>
      </w:r>
      <w:r>
        <w:rPr>
          <w:rFonts w:hint="eastAsia" w:ascii="Helvetica" w:hAnsi="Helvetica" w:cs="Helvetica"/>
          <w:color w:val="000000"/>
          <w:sz w:val="32"/>
          <w:szCs w:val="32"/>
          <w:highlight w:val="none"/>
        </w:rPr>
        <w:t>202</w:t>
      </w:r>
      <w:r>
        <w:rPr>
          <w:rFonts w:hint="eastAsia" w:ascii="Helvetica" w:hAnsi="Helvetica" w:cs="Helvetica"/>
          <w:color w:val="00000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Helvetica" w:hAnsi="Helvetica" w:cs="Helvetica"/>
          <w:color w:val="000000"/>
          <w:sz w:val="32"/>
          <w:szCs w:val="32"/>
          <w:highlight w:val="none"/>
        </w:rPr>
        <w:t>年项目支出</w:t>
      </w:r>
      <w:r>
        <w:rPr>
          <w:rFonts w:hint="eastAsia" w:ascii="Helvetica" w:hAnsi="Helvetica" w:cs="Helvetica"/>
          <w:color w:val="000000"/>
          <w:sz w:val="32"/>
          <w:szCs w:val="32"/>
          <w:highlight w:val="none"/>
          <w:lang w:val="en-US" w:eastAsia="zh-CN"/>
        </w:rPr>
        <w:t>127.86</w:t>
      </w:r>
      <w:r>
        <w:rPr>
          <w:rFonts w:hint="eastAsia" w:ascii="Helvetica" w:hAnsi="Helvetica" w:cs="Helvetica"/>
          <w:color w:val="000000"/>
          <w:sz w:val="32"/>
          <w:szCs w:val="32"/>
          <w:highlight w:val="none"/>
        </w:rPr>
        <w:t>万元</w:t>
      </w:r>
      <w:r>
        <w:rPr>
          <w:rFonts w:hint="eastAsia" w:ascii="Helvetica" w:hAnsi="Helvetica" w:cs="Helvetica"/>
          <w:color w:val="000000"/>
          <w:sz w:val="32"/>
          <w:szCs w:val="32"/>
          <w:highlight w:val="none"/>
          <w:lang w:val="en-US" w:eastAsia="zh-CN"/>
        </w:rPr>
        <w:t>占本年支出合计35.15%，</w:t>
      </w:r>
      <w:r>
        <w:rPr>
          <w:rFonts w:hint="eastAsia" w:ascii="Helvetica" w:hAnsi="Helvetica" w:cs="Helvetica"/>
          <w:color w:val="000000"/>
          <w:sz w:val="32"/>
          <w:szCs w:val="32"/>
          <w:highlight w:val="none"/>
        </w:rPr>
        <w:t>基本支出预算</w:t>
      </w:r>
      <w:r>
        <w:rPr>
          <w:rFonts w:hint="eastAsia" w:ascii="Helvetica" w:hAnsi="Helvetica" w:cs="Helvetica"/>
          <w:color w:val="000000"/>
          <w:sz w:val="32"/>
          <w:szCs w:val="32"/>
          <w:highlight w:val="none"/>
          <w:lang w:val="en-US" w:eastAsia="zh-CN"/>
        </w:rPr>
        <w:t>327.86</w:t>
      </w:r>
      <w:r>
        <w:rPr>
          <w:rFonts w:hint="eastAsia" w:ascii="Helvetica" w:hAnsi="Helvetica" w:cs="Helvetica"/>
          <w:color w:val="000000"/>
          <w:sz w:val="32"/>
          <w:szCs w:val="32"/>
          <w:highlight w:val="none"/>
        </w:rPr>
        <w:t>万元</w:t>
      </w:r>
      <w:r>
        <w:rPr>
          <w:rFonts w:hint="eastAsia" w:ascii="Helvetica" w:hAnsi="Helvetica" w:cs="Helvetica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eastAsia" w:ascii="Helvetica" w:hAnsi="Helvetica" w:cs="Helvetica"/>
          <w:color w:val="000000"/>
          <w:sz w:val="32"/>
          <w:szCs w:val="32"/>
          <w:highlight w:val="none"/>
          <w:lang w:val="en-US" w:eastAsia="zh-CN"/>
        </w:rPr>
        <w:t>项目支出预算127.86万</w:t>
      </w:r>
      <w:r>
        <w:rPr>
          <w:rFonts w:hint="eastAsia" w:ascii="Helvetica" w:hAnsi="Helvetica" w:cs="Helvetica"/>
          <w:color w:val="000000"/>
          <w:sz w:val="32"/>
          <w:szCs w:val="32"/>
          <w:highlight w:val="none"/>
        </w:rPr>
        <w:t>。</w:t>
      </w:r>
    </w:p>
    <w:p w14:paraId="0544DDA7">
      <w:pPr>
        <w:pStyle w:val="9"/>
        <w:spacing w:before="0" w:beforeAutospacing="0" w:after="0" w:afterAutospacing="0" w:line="675" w:lineRule="atLeast"/>
        <w:ind w:firstLine="640" w:firstLineChars="200"/>
        <w:rPr>
          <w:rFonts w:ascii="Helvetica" w:hAnsi="Helvetica" w:eastAsia="Helvetica" w:cs="Helvetica"/>
          <w:b/>
          <w:bCs/>
          <w:color w:val="000000"/>
          <w:sz w:val="32"/>
          <w:szCs w:val="32"/>
        </w:rPr>
      </w:pPr>
      <w:r>
        <w:rPr>
          <w:rFonts w:hint="eastAsia" w:ascii="Helvetica" w:hAnsi="Helvetica" w:eastAsia="Helvetica" w:cs="Helvetica"/>
          <w:b/>
          <w:bCs/>
          <w:color w:val="000000"/>
          <w:sz w:val="32"/>
          <w:szCs w:val="32"/>
        </w:rPr>
        <w:t>（二）财政拨款支出决算结构情况</w:t>
      </w:r>
    </w:p>
    <w:p w14:paraId="6F0D7B32">
      <w:pPr>
        <w:pStyle w:val="9"/>
        <w:spacing w:before="0" w:beforeAutospacing="0" w:after="0" w:afterAutospacing="0" w:line="675" w:lineRule="atLeast"/>
        <w:ind w:firstLine="640" w:firstLineChars="200"/>
        <w:rPr>
          <w:rFonts w:hint="default" w:ascii="Helvetica" w:hAnsi="Helvetica" w:eastAsia="宋体" w:cs="Helvetica"/>
          <w:color w:val="000000"/>
          <w:sz w:val="32"/>
          <w:szCs w:val="32"/>
          <w:lang w:val="en-US" w:eastAsia="zh-CN"/>
        </w:rPr>
      </w:pPr>
      <w:r>
        <w:rPr>
          <w:rFonts w:hint="eastAsia" w:ascii="Helvetica" w:hAnsi="Helvetica" w:eastAsia="Helvetica" w:cs="Helvetica"/>
          <w:color w:val="000000"/>
          <w:sz w:val="32"/>
          <w:szCs w:val="32"/>
        </w:rPr>
        <w:t>202</w:t>
      </w:r>
      <w:r>
        <w:rPr>
          <w:rFonts w:hint="eastAsia" w:ascii="Helvetica" w:hAnsi="Helvetica" w:cs="Helvetica"/>
          <w:color w:val="000000"/>
          <w:sz w:val="32"/>
          <w:szCs w:val="32"/>
          <w:lang w:val="en-US" w:eastAsia="zh-CN"/>
        </w:rPr>
        <w:t>3</w:t>
      </w:r>
      <w:r>
        <w:rPr>
          <w:rFonts w:hint="eastAsia" w:ascii="Helvetica" w:hAnsi="Helvetica" w:eastAsia="Helvetica" w:cs="Helvetica"/>
          <w:color w:val="000000"/>
          <w:sz w:val="32"/>
          <w:szCs w:val="32"/>
        </w:rPr>
        <w:t>年度财政拨款支出</w:t>
      </w:r>
      <w:r>
        <w:rPr>
          <w:rFonts w:hint="eastAsia" w:ascii="Helvetica" w:hAnsi="Helvetica" w:cs="Helvetica"/>
          <w:color w:val="000000"/>
          <w:sz w:val="32"/>
          <w:szCs w:val="32"/>
          <w:lang w:val="en-US" w:eastAsia="zh-CN"/>
        </w:rPr>
        <w:t>369.47</w:t>
      </w:r>
      <w:r>
        <w:rPr>
          <w:rFonts w:hint="eastAsia" w:ascii="Helvetica" w:hAnsi="Helvetica" w:eastAsia="Helvetica" w:cs="Helvetica"/>
          <w:color w:val="000000"/>
          <w:sz w:val="32"/>
          <w:szCs w:val="32"/>
        </w:rPr>
        <w:t>万元，主要用于以下方面：</w:t>
      </w:r>
      <w:r>
        <w:rPr>
          <w:rFonts w:hint="eastAsia" w:ascii="Helvetica" w:hAnsi="Helvetica" w:cs="Helvetica"/>
          <w:color w:val="000000"/>
          <w:sz w:val="32"/>
          <w:szCs w:val="32"/>
        </w:rPr>
        <w:t>基本支出</w:t>
      </w:r>
      <w:r>
        <w:rPr>
          <w:rFonts w:hint="eastAsia" w:ascii="Helvetica" w:hAnsi="Helvetica" w:cs="Helvetica"/>
          <w:color w:val="000000"/>
          <w:sz w:val="32"/>
          <w:szCs w:val="32"/>
          <w:lang w:val="en-US" w:eastAsia="zh-CN"/>
        </w:rPr>
        <w:t>239.61</w:t>
      </w:r>
      <w:r>
        <w:rPr>
          <w:rFonts w:hint="eastAsia" w:ascii="Helvetica" w:hAnsi="Helvetica" w:eastAsia="Helvetica" w:cs="Helvetica"/>
          <w:color w:val="000000"/>
          <w:sz w:val="32"/>
          <w:szCs w:val="32"/>
        </w:rPr>
        <w:t>万元，占</w:t>
      </w:r>
      <w:r>
        <w:rPr>
          <w:rFonts w:hint="eastAsia" w:ascii="Helvetica" w:hAnsi="Helvetica" w:cs="Helvetica"/>
          <w:color w:val="000000"/>
          <w:sz w:val="32"/>
          <w:szCs w:val="32"/>
          <w:lang w:val="en-US" w:eastAsia="zh-CN"/>
        </w:rPr>
        <w:t>64.85</w:t>
      </w:r>
      <w:r>
        <w:rPr>
          <w:rFonts w:hint="eastAsia" w:ascii="Helvetica" w:hAnsi="Helvetica" w:cs="Helvetica"/>
          <w:color w:val="000000"/>
          <w:sz w:val="32"/>
          <w:szCs w:val="32"/>
        </w:rPr>
        <w:t>%</w:t>
      </w:r>
      <w:r>
        <w:rPr>
          <w:rFonts w:hint="eastAsia" w:ascii="Helvetica" w:hAnsi="Helvetica" w:cs="Helvetica"/>
          <w:color w:val="000000"/>
          <w:sz w:val="32"/>
          <w:szCs w:val="32"/>
          <w:lang w:eastAsia="zh-CN"/>
        </w:rPr>
        <w:t>，</w:t>
      </w:r>
      <w:r>
        <w:rPr>
          <w:rFonts w:hint="eastAsia" w:ascii="Helvetica" w:hAnsi="Helvetica" w:cs="Helvetica"/>
          <w:color w:val="000000"/>
          <w:sz w:val="32"/>
          <w:szCs w:val="32"/>
          <w:lang w:val="en-US" w:eastAsia="zh-CN"/>
        </w:rPr>
        <w:t>项目</w:t>
      </w:r>
      <w:r>
        <w:rPr>
          <w:rFonts w:hint="eastAsia" w:ascii="Helvetica" w:hAnsi="Helvetica" w:cs="Helvetica"/>
          <w:color w:val="000000"/>
          <w:sz w:val="32"/>
          <w:szCs w:val="32"/>
        </w:rPr>
        <w:t>支出</w:t>
      </w:r>
      <w:r>
        <w:rPr>
          <w:rFonts w:hint="eastAsia" w:ascii="Helvetica" w:hAnsi="Helvetica" w:cs="Helvetica"/>
          <w:color w:val="000000"/>
          <w:sz w:val="32"/>
          <w:szCs w:val="32"/>
          <w:highlight w:val="none"/>
          <w:lang w:val="en-US" w:eastAsia="zh-CN"/>
        </w:rPr>
        <w:t>127.86</w:t>
      </w:r>
      <w:r>
        <w:rPr>
          <w:rFonts w:hint="eastAsia" w:ascii="Helvetica" w:hAnsi="Helvetica" w:cs="Helvetica"/>
          <w:color w:val="000000"/>
          <w:sz w:val="32"/>
          <w:szCs w:val="32"/>
          <w:lang w:val="en-US" w:eastAsia="zh-CN"/>
        </w:rPr>
        <w:t>万元，占35.15%。</w:t>
      </w:r>
    </w:p>
    <w:p w14:paraId="772B8709">
      <w:pPr>
        <w:pStyle w:val="9"/>
        <w:spacing w:before="0" w:beforeAutospacing="0" w:after="0" w:afterAutospacing="0" w:line="675" w:lineRule="atLeast"/>
        <w:ind w:firstLine="640" w:firstLineChars="200"/>
        <w:rPr>
          <w:rFonts w:ascii="Helvetica" w:hAnsi="Helvetica" w:eastAsia="Helvetica" w:cs="Helvetica"/>
          <w:b/>
          <w:bCs/>
          <w:color w:val="000000"/>
          <w:sz w:val="32"/>
          <w:szCs w:val="32"/>
        </w:rPr>
      </w:pPr>
      <w:r>
        <w:rPr>
          <w:rFonts w:hint="eastAsia" w:ascii="Helvetica" w:hAnsi="Helvetica" w:eastAsia="Helvetica" w:cs="Helvetica"/>
          <w:b/>
          <w:bCs/>
          <w:color w:val="000000"/>
          <w:sz w:val="32"/>
          <w:szCs w:val="32"/>
        </w:rPr>
        <w:t>（三）财政拨款支出决算具体情况</w:t>
      </w:r>
    </w:p>
    <w:p w14:paraId="269ACFFB">
      <w:pPr>
        <w:pStyle w:val="9"/>
        <w:spacing w:before="0" w:beforeAutospacing="0" w:after="0" w:afterAutospacing="0" w:line="675" w:lineRule="atLeast"/>
        <w:ind w:firstLine="640" w:firstLineChars="200"/>
        <w:rPr>
          <w:color w:val="000000"/>
          <w:sz w:val="32"/>
          <w:szCs w:val="32"/>
        </w:rPr>
      </w:pPr>
      <w:r>
        <w:rPr>
          <w:rFonts w:hint="eastAsia" w:ascii="Helvetica" w:hAnsi="Helvetica" w:eastAsia="Helvetica" w:cs="Helvetica"/>
          <w:color w:val="000000"/>
          <w:sz w:val="32"/>
          <w:szCs w:val="32"/>
        </w:rPr>
        <w:t>202</w:t>
      </w:r>
      <w:r>
        <w:rPr>
          <w:rFonts w:hint="eastAsia" w:ascii="Helvetica" w:hAnsi="Helvetica" w:cs="Helvetica"/>
          <w:color w:val="000000"/>
          <w:sz w:val="32"/>
          <w:szCs w:val="32"/>
          <w:lang w:val="en-US" w:eastAsia="zh-CN"/>
        </w:rPr>
        <w:t>3</w:t>
      </w:r>
      <w:r>
        <w:rPr>
          <w:rFonts w:hint="eastAsia" w:ascii="Helvetica" w:hAnsi="Helvetica" w:cs="Helvetica"/>
          <w:color w:val="000000"/>
          <w:sz w:val="32"/>
          <w:szCs w:val="32"/>
        </w:rPr>
        <w:t>年</w:t>
      </w:r>
      <w:r>
        <w:rPr>
          <w:rFonts w:hint="eastAsia" w:ascii="Helvetica" w:hAnsi="Helvetica" w:eastAsia="Helvetica" w:cs="Helvetica"/>
          <w:color w:val="000000"/>
          <w:sz w:val="32"/>
          <w:szCs w:val="32"/>
        </w:rPr>
        <w:t>年度财政拨款</w:t>
      </w:r>
      <w:r>
        <w:rPr>
          <w:rFonts w:hint="eastAsia" w:ascii="Helvetica" w:hAnsi="Helvetica" w:cs="Helvetica"/>
          <w:color w:val="000000"/>
          <w:sz w:val="32"/>
          <w:szCs w:val="32"/>
        </w:rPr>
        <w:t>基本</w:t>
      </w:r>
      <w:r>
        <w:rPr>
          <w:rFonts w:hint="eastAsia" w:ascii="Helvetica" w:hAnsi="Helvetica" w:eastAsia="Helvetica" w:cs="Helvetica"/>
          <w:color w:val="000000"/>
          <w:sz w:val="32"/>
          <w:szCs w:val="32"/>
        </w:rPr>
        <w:t xml:space="preserve">支出年初预算数为 </w:t>
      </w:r>
      <w:r>
        <w:rPr>
          <w:rFonts w:hint="eastAsia" w:ascii="Helvetica" w:hAnsi="Helvetica" w:cs="Helvetica"/>
          <w:color w:val="000000"/>
          <w:sz w:val="32"/>
          <w:szCs w:val="32"/>
          <w:lang w:val="en-US" w:eastAsia="zh-CN"/>
        </w:rPr>
        <w:t>369.47</w:t>
      </w:r>
      <w:r>
        <w:rPr>
          <w:rFonts w:hint="eastAsia" w:ascii="Helvetica" w:hAnsi="Helvetica" w:eastAsia="Helvetica" w:cs="Helvetica"/>
          <w:color w:val="000000"/>
          <w:sz w:val="32"/>
          <w:szCs w:val="32"/>
        </w:rPr>
        <w:t>万元，</w:t>
      </w:r>
      <w:r>
        <w:rPr>
          <w:rFonts w:hint="eastAsia" w:ascii="Helvetica" w:hAnsi="Helvetica" w:cs="Helvetica"/>
          <w:color w:val="000000"/>
          <w:sz w:val="32"/>
          <w:szCs w:val="32"/>
        </w:rPr>
        <w:t>项目支出为</w:t>
      </w:r>
      <w:r>
        <w:rPr>
          <w:rFonts w:hint="eastAsia" w:ascii="Helvetica" w:hAnsi="Helvetica" w:cs="Helvetica"/>
          <w:color w:val="000000"/>
          <w:sz w:val="32"/>
          <w:szCs w:val="32"/>
          <w:highlight w:val="none"/>
          <w:lang w:val="en-US" w:eastAsia="zh-CN"/>
        </w:rPr>
        <w:t>127.86</w:t>
      </w:r>
      <w:r>
        <w:rPr>
          <w:rFonts w:hint="eastAsia" w:ascii="Helvetica" w:hAnsi="Helvetica" w:cs="Helvetica"/>
          <w:color w:val="000000"/>
          <w:sz w:val="32"/>
          <w:szCs w:val="32"/>
        </w:rPr>
        <w:t>万元。1-12月份基本</w:t>
      </w:r>
      <w:r>
        <w:rPr>
          <w:rFonts w:hint="eastAsia" w:ascii="Helvetica" w:hAnsi="Helvetica" w:eastAsia="Helvetica" w:cs="Helvetica"/>
          <w:color w:val="000000"/>
          <w:sz w:val="32"/>
          <w:szCs w:val="32"/>
        </w:rPr>
        <w:t>支出为</w:t>
      </w:r>
      <w:r>
        <w:rPr>
          <w:rFonts w:hint="eastAsia" w:ascii="Helvetica" w:hAnsi="Helvetica" w:cs="Helvetica"/>
          <w:color w:val="000000"/>
          <w:sz w:val="32"/>
          <w:szCs w:val="32"/>
          <w:lang w:val="en-US" w:eastAsia="zh-CN"/>
        </w:rPr>
        <w:t>239.61</w:t>
      </w:r>
      <w:r>
        <w:rPr>
          <w:rFonts w:hint="eastAsia" w:ascii="Helvetica" w:hAnsi="Helvetica" w:eastAsia="Helvetica" w:cs="Helvetica"/>
          <w:color w:val="000000"/>
          <w:sz w:val="32"/>
          <w:szCs w:val="32"/>
        </w:rPr>
        <w:t>万元，完成</w:t>
      </w:r>
      <w:r>
        <w:rPr>
          <w:rFonts w:hint="eastAsia" w:ascii="Helvetica" w:hAnsi="Helvetica" w:cs="Helvetica"/>
          <w:color w:val="000000"/>
          <w:sz w:val="32"/>
          <w:szCs w:val="32"/>
          <w:lang w:val="en-US" w:eastAsia="zh-CN"/>
        </w:rPr>
        <w:t>全年</w:t>
      </w:r>
      <w:r>
        <w:rPr>
          <w:rFonts w:hint="eastAsia" w:ascii="Helvetica" w:hAnsi="Helvetica" w:eastAsia="Helvetica" w:cs="Helvetica"/>
          <w:color w:val="000000"/>
          <w:sz w:val="32"/>
          <w:szCs w:val="32"/>
        </w:rPr>
        <w:t>预算的</w:t>
      </w:r>
      <w:r>
        <w:rPr>
          <w:rFonts w:hint="eastAsia" w:ascii="Helvetica" w:hAnsi="Helvetica" w:cs="Helvetica"/>
          <w:color w:val="000000"/>
          <w:sz w:val="32"/>
          <w:szCs w:val="32"/>
        </w:rPr>
        <w:t>100</w:t>
      </w:r>
      <w:r>
        <w:rPr>
          <w:rFonts w:hint="eastAsia" w:ascii="Helvetica" w:hAnsi="Helvetica" w:eastAsia="Helvetica" w:cs="Helvetica"/>
          <w:color w:val="000000"/>
          <w:sz w:val="32"/>
          <w:szCs w:val="32"/>
        </w:rPr>
        <w:t>%，</w:t>
      </w:r>
      <w:r>
        <w:rPr>
          <w:rFonts w:hint="eastAsia" w:ascii="Helvetica" w:hAnsi="Helvetica" w:cs="Helvetica"/>
          <w:color w:val="000000"/>
          <w:sz w:val="32"/>
          <w:szCs w:val="32"/>
        </w:rPr>
        <w:t>项目支出为</w:t>
      </w:r>
      <w:r>
        <w:rPr>
          <w:rFonts w:hint="eastAsia" w:ascii="Helvetica" w:hAnsi="Helvetica" w:cs="Helvetica"/>
          <w:color w:val="000000"/>
          <w:sz w:val="32"/>
          <w:szCs w:val="32"/>
          <w:highlight w:val="none"/>
          <w:lang w:val="en-US" w:eastAsia="zh-CN"/>
        </w:rPr>
        <w:t>127.86</w:t>
      </w:r>
      <w:r>
        <w:rPr>
          <w:rFonts w:hint="eastAsia" w:ascii="Helvetica" w:hAnsi="Helvetica" w:cs="Helvetica"/>
          <w:color w:val="000000"/>
          <w:sz w:val="32"/>
          <w:szCs w:val="32"/>
          <w:lang w:val="en-US" w:eastAsia="zh-CN"/>
        </w:rPr>
        <w:t>，完成全年预算的100%</w:t>
      </w:r>
      <w:r>
        <w:rPr>
          <w:rFonts w:hint="eastAsia" w:ascii="Helvetica" w:hAnsi="Helvetica" w:cs="Helvetica"/>
          <w:color w:val="000000"/>
          <w:sz w:val="32"/>
          <w:szCs w:val="32"/>
        </w:rPr>
        <w:t>。</w:t>
      </w:r>
    </w:p>
    <w:p w14:paraId="5B1E1333">
      <w:pPr>
        <w:widowControl/>
        <w:jc w:val="left"/>
        <w:rPr>
          <w:rFonts w:ascii="Helvetica" w:hAnsi="Helvetica" w:eastAsia="Helvetica" w:cs="Helvetica"/>
          <w:color w:val="000000"/>
          <w:szCs w:val="21"/>
        </w:rPr>
      </w:pPr>
    </w:p>
    <w:p w14:paraId="73427DC7">
      <w:pPr>
        <w:widowControl/>
        <w:jc w:val="left"/>
        <w:rPr>
          <w:rFonts w:ascii="Helvetica" w:hAnsi="Helvetica" w:cs="Helvetica"/>
          <w:color w:val="000000"/>
          <w:sz w:val="32"/>
          <w:szCs w:val="32"/>
        </w:rPr>
      </w:pPr>
      <w:r>
        <w:rPr>
          <w:rFonts w:ascii="Helvetica" w:hAnsi="Helvetica" w:eastAsia="Helvetica" w:cs="Helvetica"/>
          <w:color w:val="000000"/>
          <w:sz w:val="24"/>
          <w:szCs w:val="24"/>
        </w:rPr>
        <w:t>     </w:t>
      </w:r>
      <w:r>
        <w:rPr>
          <w:rFonts w:ascii="Helvetica" w:hAnsi="Helvetica" w:eastAsia="Helvetica" w:cs="Helvetica"/>
          <w:color w:val="000000"/>
          <w:sz w:val="32"/>
          <w:szCs w:val="32"/>
        </w:rPr>
        <w:t> 202</w:t>
      </w:r>
      <w:r>
        <w:rPr>
          <w:rFonts w:hint="eastAsia" w:ascii="Helvetica" w:hAnsi="Helvetica" w:cs="Helvetica"/>
          <w:color w:val="000000"/>
          <w:sz w:val="32"/>
          <w:szCs w:val="32"/>
          <w:lang w:val="en-US" w:eastAsia="zh-CN"/>
        </w:rPr>
        <w:t>3</w:t>
      </w:r>
      <w:r>
        <w:rPr>
          <w:rFonts w:ascii="Helvetica" w:hAnsi="Helvetica" w:eastAsia="Helvetica" w:cs="Helvetica"/>
          <w:color w:val="000000"/>
          <w:sz w:val="32"/>
          <w:szCs w:val="32"/>
        </w:rPr>
        <w:t>年度财政拨款支出</w:t>
      </w:r>
      <w:r>
        <w:rPr>
          <w:rFonts w:hint="eastAsia" w:ascii="Helvetica" w:hAnsi="Helvetica" w:cs="Helvetica"/>
          <w:color w:val="000000"/>
          <w:sz w:val="32"/>
          <w:szCs w:val="32"/>
          <w:lang w:val="en-US" w:eastAsia="zh-CN"/>
        </w:rPr>
        <w:t>369.47</w:t>
      </w:r>
      <w:r>
        <w:rPr>
          <w:rFonts w:ascii="Helvetica" w:hAnsi="Helvetica" w:eastAsia="Helvetica" w:cs="Helvetica"/>
          <w:color w:val="000000"/>
          <w:sz w:val="32"/>
          <w:szCs w:val="32"/>
        </w:rPr>
        <w:t>万元，其中：</w:t>
      </w:r>
      <w:r>
        <w:rPr>
          <w:rFonts w:hint="eastAsia" w:ascii="Helvetica" w:hAnsi="Helvetica" w:cs="Helvetica"/>
          <w:color w:val="000000"/>
          <w:sz w:val="32"/>
          <w:szCs w:val="32"/>
        </w:rPr>
        <w:t>工资福利支出</w:t>
      </w:r>
      <w:r>
        <w:rPr>
          <w:rFonts w:hint="eastAsia" w:ascii="Helvetica" w:hAnsi="Helvetica" w:cs="Helvetica"/>
          <w:color w:val="000000"/>
          <w:sz w:val="32"/>
          <w:szCs w:val="32"/>
          <w:lang w:val="en-US" w:eastAsia="zh-CN"/>
        </w:rPr>
        <w:t>215.55</w:t>
      </w:r>
      <w:r>
        <w:rPr>
          <w:rFonts w:ascii="Helvetica" w:hAnsi="Helvetica" w:eastAsia="Helvetica" w:cs="Helvetica"/>
          <w:color w:val="000000"/>
          <w:sz w:val="32"/>
          <w:szCs w:val="32"/>
        </w:rPr>
        <w:t>万元，占支出的</w:t>
      </w:r>
      <w:r>
        <w:rPr>
          <w:rFonts w:hint="eastAsia" w:ascii="Helvetica" w:hAnsi="Helvetica" w:cs="Helvetica"/>
          <w:color w:val="000000"/>
          <w:sz w:val="32"/>
          <w:szCs w:val="32"/>
          <w:lang w:val="en-US" w:eastAsia="zh-CN"/>
        </w:rPr>
        <w:t>58.34</w:t>
      </w:r>
      <w:r>
        <w:rPr>
          <w:rFonts w:ascii="Helvetica" w:hAnsi="Helvetica" w:eastAsia="Helvetica" w:cs="Helvetica"/>
          <w:color w:val="000000"/>
          <w:sz w:val="32"/>
          <w:szCs w:val="32"/>
        </w:rPr>
        <w:t>%，</w:t>
      </w:r>
      <w:r>
        <w:rPr>
          <w:rFonts w:hint="eastAsia" w:ascii="Helvetica" w:hAnsi="Helvetica" w:cs="Helvetica"/>
          <w:color w:val="000000"/>
          <w:sz w:val="32"/>
          <w:szCs w:val="32"/>
        </w:rPr>
        <w:t>商品和服务支出</w:t>
      </w:r>
      <w:r>
        <w:rPr>
          <w:rFonts w:hint="eastAsia" w:ascii="Helvetica" w:hAnsi="Helvetica" w:cs="Helvetica"/>
          <w:color w:val="000000"/>
          <w:sz w:val="32"/>
          <w:szCs w:val="32"/>
          <w:lang w:val="en-US" w:eastAsia="zh-CN"/>
        </w:rPr>
        <w:t>143.16</w:t>
      </w:r>
      <w:r>
        <w:rPr>
          <w:rFonts w:hint="eastAsia" w:ascii="Helvetica" w:hAnsi="Helvetica" w:cs="Helvetica"/>
          <w:color w:val="000000"/>
          <w:sz w:val="32"/>
          <w:szCs w:val="32"/>
        </w:rPr>
        <w:t>万元占支出的</w:t>
      </w:r>
      <w:r>
        <w:rPr>
          <w:rFonts w:hint="eastAsia" w:ascii="Helvetica" w:hAnsi="Helvetica" w:cs="Helvetica"/>
          <w:color w:val="000000"/>
          <w:sz w:val="32"/>
          <w:szCs w:val="32"/>
          <w:lang w:val="en-US" w:eastAsia="zh-CN"/>
        </w:rPr>
        <w:t>38.75</w:t>
      </w:r>
      <w:r>
        <w:rPr>
          <w:rFonts w:hint="eastAsia" w:ascii="Helvetica" w:hAnsi="Helvetica" w:cs="Helvetica"/>
          <w:color w:val="000000"/>
          <w:sz w:val="32"/>
          <w:szCs w:val="32"/>
        </w:rPr>
        <w:t>%，对个人和家庭补助支出</w:t>
      </w:r>
      <w:r>
        <w:rPr>
          <w:rFonts w:hint="eastAsia" w:ascii="Helvetica" w:hAnsi="Helvetica" w:cs="Helvetica"/>
          <w:color w:val="000000"/>
          <w:sz w:val="32"/>
          <w:szCs w:val="32"/>
          <w:lang w:val="en-US" w:eastAsia="zh-CN"/>
        </w:rPr>
        <w:t>3.5</w:t>
      </w:r>
      <w:r>
        <w:rPr>
          <w:rFonts w:hint="eastAsia" w:ascii="Helvetica" w:hAnsi="Helvetica" w:cs="Helvetica"/>
          <w:color w:val="000000"/>
          <w:sz w:val="32"/>
          <w:szCs w:val="32"/>
        </w:rPr>
        <w:t>万元，占支出的</w:t>
      </w:r>
      <w:r>
        <w:rPr>
          <w:rFonts w:hint="eastAsia" w:ascii="Helvetica" w:hAnsi="Helvetica" w:cs="Helvetica"/>
          <w:color w:val="000000"/>
          <w:sz w:val="32"/>
          <w:szCs w:val="32"/>
          <w:lang w:val="en-US" w:eastAsia="zh-CN"/>
        </w:rPr>
        <w:t>0.95</w:t>
      </w:r>
      <w:r>
        <w:rPr>
          <w:rFonts w:hint="eastAsia" w:ascii="Helvetica" w:hAnsi="Helvetica" w:cs="Helvetica"/>
          <w:color w:val="000000"/>
          <w:sz w:val="32"/>
          <w:szCs w:val="32"/>
        </w:rPr>
        <w:t>%。资本性支出</w:t>
      </w:r>
      <w:r>
        <w:rPr>
          <w:rFonts w:hint="eastAsia" w:ascii="Helvetica" w:hAnsi="Helvetica" w:cs="Helvetica"/>
          <w:color w:val="000000"/>
          <w:sz w:val="32"/>
          <w:szCs w:val="32"/>
          <w:lang w:val="en-US" w:eastAsia="zh-CN"/>
        </w:rPr>
        <w:t>7.2</w:t>
      </w:r>
      <w:r>
        <w:rPr>
          <w:rFonts w:hint="eastAsia" w:ascii="Helvetica" w:hAnsi="Helvetica" w:cs="Helvetica"/>
          <w:color w:val="000000"/>
          <w:sz w:val="32"/>
          <w:szCs w:val="32"/>
        </w:rPr>
        <w:t>万元占支出的</w:t>
      </w:r>
      <w:r>
        <w:rPr>
          <w:rFonts w:hint="eastAsia" w:ascii="Helvetica" w:hAnsi="Helvetica" w:cs="Helvetica"/>
          <w:color w:val="000000"/>
          <w:sz w:val="32"/>
          <w:szCs w:val="32"/>
          <w:lang w:val="en-US" w:eastAsia="zh-CN"/>
        </w:rPr>
        <w:t>1.96</w:t>
      </w:r>
      <w:r>
        <w:rPr>
          <w:rFonts w:hint="eastAsia" w:ascii="Helvetica" w:hAnsi="Helvetica" w:cs="Helvetica"/>
          <w:color w:val="000000"/>
          <w:sz w:val="32"/>
          <w:szCs w:val="32"/>
        </w:rPr>
        <w:t>%。</w:t>
      </w:r>
    </w:p>
    <w:p w14:paraId="1E8CABE1">
      <w:pPr>
        <w:pStyle w:val="19"/>
        <w:widowControl/>
        <w:ind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三、政府性基金预算支出情况</w:t>
      </w:r>
      <w:r>
        <w:rPr>
          <w:rFonts w:hint="eastAsia" w:eastAsia="黑体"/>
          <w:sz w:val="32"/>
          <w:szCs w:val="32"/>
        </w:rPr>
        <w:t>（无）</w:t>
      </w:r>
    </w:p>
    <w:p w14:paraId="2BC9511B">
      <w:pPr>
        <w:pStyle w:val="19"/>
        <w:widowControl/>
        <w:ind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四、国有资本经营预算支出情况</w:t>
      </w:r>
      <w:r>
        <w:rPr>
          <w:rFonts w:hint="eastAsia" w:eastAsia="黑体"/>
          <w:sz w:val="32"/>
          <w:szCs w:val="32"/>
        </w:rPr>
        <w:t>(无)</w:t>
      </w:r>
    </w:p>
    <w:p w14:paraId="5948FAA4">
      <w:pPr>
        <w:pStyle w:val="19"/>
        <w:widowControl/>
        <w:ind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五、社会保险基金预算支出情况</w:t>
      </w:r>
      <w:r>
        <w:rPr>
          <w:rFonts w:hint="eastAsia" w:eastAsia="黑体"/>
          <w:sz w:val="32"/>
          <w:szCs w:val="32"/>
        </w:rPr>
        <w:t>（无）</w:t>
      </w:r>
    </w:p>
    <w:p w14:paraId="48DB3F75">
      <w:pPr>
        <w:widowControl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六、部门整体支出绩效情况</w:t>
      </w:r>
    </w:p>
    <w:p w14:paraId="2DB570EC">
      <w:pPr>
        <w:pStyle w:val="2"/>
        <w:numPr>
          <w:ilvl w:val="0"/>
          <w:numId w:val="0"/>
        </w:numPr>
        <w:ind w:firstLine="620" w:firstLineChars="200"/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0"/>
          <w:kern w:val="2"/>
          <w:sz w:val="31"/>
          <w:szCs w:val="31"/>
          <w:shd w:val="clear" w:color="auto" w:fill="FFFFFF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0"/>
          <w:kern w:val="2"/>
          <w:sz w:val="31"/>
          <w:szCs w:val="31"/>
          <w:shd w:val="clear" w:color="auto" w:fill="FFFFFF"/>
          <w:lang w:val="en-US" w:eastAsia="zh-CN" w:bidi="ar-SA"/>
        </w:rPr>
        <w:t>根据工作需要，信息中心</w:t>
      </w:r>
      <w:r>
        <w:rPr>
          <w:rFonts w:hint="eastAsia" w:ascii="仿宋_GB2312" w:eastAsia="仿宋_GB2312" w:cs="仿宋_GB2312"/>
          <w:i w:val="0"/>
          <w:iCs w:val="0"/>
          <w:caps w:val="0"/>
          <w:color w:val="333333"/>
          <w:spacing w:val="0"/>
          <w:kern w:val="2"/>
          <w:sz w:val="31"/>
          <w:szCs w:val="31"/>
          <w:shd w:val="clear" w:color="auto" w:fill="FFFFFF"/>
          <w:lang w:val="en-US" w:eastAsia="zh-CN" w:bidi="ar-SA"/>
        </w:rPr>
        <w:t>2023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0"/>
          <w:kern w:val="2"/>
          <w:sz w:val="31"/>
          <w:szCs w:val="31"/>
          <w:shd w:val="clear" w:color="auto" w:fill="FFFFFF"/>
          <w:lang w:val="en-US" w:eastAsia="zh-CN" w:bidi="ar-SA"/>
        </w:rPr>
        <w:t>年推进了三维数字城市、办公OA升级项目建设，合作研发了“智慧工地”监管平台，本年度信息化建设项目总投资为198.3万元。具体项目建设情况如下：</w:t>
      </w:r>
    </w:p>
    <w:p w14:paraId="07A542C9">
      <w:pPr>
        <w:pStyle w:val="2"/>
        <w:numPr>
          <w:ilvl w:val="0"/>
          <w:numId w:val="0"/>
        </w:numPr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0"/>
          <w:kern w:val="2"/>
          <w:sz w:val="31"/>
          <w:szCs w:val="31"/>
          <w:shd w:val="clear" w:color="auto" w:fill="FFFFFF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0"/>
          <w:kern w:val="2"/>
          <w:sz w:val="31"/>
          <w:szCs w:val="31"/>
          <w:shd w:val="clear" w:color="auto" w:fill="FFFFFF"/>
          <w:lang w:val="en-US" w:eastAsia="zh-CN" w:bidi="ar-SA"/>
        </w:rPr>
        <w:t>1、办公OA升级已全面完成。实现了省、市、县三级公文系统的互联互通，完成信创环境的适配工作，目前已投入运行。</w:t>
      </w:r>
    </w:p>
    <w:p w14:paraId="4862B922">
      <w:pPr>
        <w:pStyle w:val="2"/>
        <w:numPr>
          <w:ilvl w:val="0"/>
          <w:numId w:val="0"/>
        </w:numPr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0"/>
          <w:kern w:val="2"/>
          <w:sz w:val="31"/>
          <w:szCs w:val="31"/>
          <w:shd w:val="clear" w:color="auto" w:fill="FFFFFF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0"/>
          <w:kern w:val="2"/>
          <w:sz w:val="31"/>
          <w:szCs w:val="31"/>
          <w:shd w:val="clear" w:color="auto" w:fill="FFFFFF"/>
          <w:lang w:val="en-US" w:eastAsia="zh-CN" w:bidi="ar-SA"/>
        </w:rPr>
        <w:t>2、住建电子证照系统已完成了部署。通过电子证照系统与不同业务系统对接的方式，以成本最低的方式实现衡阳住建部门各类信息系统管理的证照、证明的电子化，现正在进行系统数据对接工作，计划年底前签发第一批电子证照。</w:t>
      </w:r>
    </w:p>
    <w:p w14:paraId="7261E103">
      <w:pPr>
        <w:pStyle w:val="2"/>
        <w:numPr>
          <w:ilvl w:val="0"/>
          <w:numId w:val="0"/>
        </w:numPr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0"/>
          <w:kern w:val="2"/>
          <w:sz w:val="31"/>
          <w:szCs w:val="31"/>
          <w:shd w:val="clear" w:color="auto" w:fill="FFFFFF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0"/>
          <w:kern w:val="2"/>
          <w:sz w:val="31"/>
          <w:szCs w:val="31"/>
          <w:shd w:val="clear" w:color="auto" w:fill="FFFFFF"/>
          <w:lang w:val="en-US" w:eastAsia="zh-CN" w:bidi="ar-SA"/>
        </w:rPr>
        <w:t>3、三维数字城市建设项目已全面启动。作为省厅智慧住建试点，局领导高度重视，我中心严格按照项目建设程序，完成了发改立项、专家方案论证、财政评审、项目招标工作，计划</w:t>
      </w:r>
      <w:r>
        <w:rPr>
          <w:rFonts w:hint="eastAsia" w:ascii="仿宋_GB2312" w:eastAsia="仿宋_GB2312" w:cs="仿宋_GB2312"/>
          <w:i w:val="0"/>
          <w:iCs w:val="0"/>
          <w:caps w:val="0"/>
          <w:color w:val="333333"/>
          <w:spacing w:val="0"/>
          <w:kern w:val="2"/>
          <w:sz w:val="31"/>
          <w:szCs w:val="31"/>
          <w:shd w:val="clear" w:color="auto" w:fill="FFFFFF"/>
          <w:lang w:val="en-US" w:eastAsia="zh-CN" w:bidi="ar-SA"/>
        </w:rPr>
        <w:t>2023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0"/>
          <w:kern w:val="2"/>
          <w:sz w:val="31"/>
          <w:szCs w:val="31"/>
          <w:shd w:val="clear" w:color="auto" w:fill="FFFFFF"/>
          <w:lang w:val="en-US" w:eastAsia="zh-CN" w:bidi="ar-SA"/>
        </w:rPr>
        <w:t>年上半年全面完成项目建设。</w:t>
      </w:r>
    </w:p>
    <w:p w14:paraId="29934F25">
      <w:pPr>
        <w:pStyle w:val="2"/>
        <w:numPr>
          <w:ilvl w:val="0"/>
          <w:numId w:val="0"/>
        </w:numPr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0"/>
          <w:kern w:val="2"/>
          <w:sz w:val="31"/>
          <w:szCs w:val="31"/>
          <w:shd w:val="clear" w:color="auto" w:fill="FFFFFF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0"/>
          <w:kern w:val="2"/>
          <w:sz w:val="31"/>
          <w:szCs w:val="31"/>
          <w:shd w:val="clear" w:color="auto" w:fill="FFFFFF"/>
          <w:lang w:val="en-US" w:eastAsia="zh-CN" w:bidi="ar-SA"/>
        </w:rPr>
        <w:t>（二）现有信息系统稳定运行。通过一年多的试运行，衡阳市房地产综合管理平台已完成验收，正式投入使用，系统实现了房屋测绘、房屋面积管理、预售资金监管、商品房预售许可、现售备案、房屋网签备案等业务的线上办理。</w:t>
      </w:r>
    </w:p>
    <w:p w14:paraId="0157F8B8">
      <w:pPr>
        <w:pStyle w:val="2"/>
        <w:numPr>
          <w:ilvl w:val="0"/>
          <w:numId w:val="0"/>
        </w:numPr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0"/>
          <w:kern w:val="2"/>
          <w:sz w:val="31"/>
          <w:szCs w:val="31"/>
          <w:shd w:val="clear" w:color="auto" w:fill="FFFFFF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0"/>
          <w:kern w:val="2"/>
          <w:sz w:val="31"/>
          <w:szCs w:val="31"/>
          <w:shd w:val="clear" w:color="auto" w:fill="FFFFFF"/>
          <w:lang w:val="en-US" w:eastAsia="zh-CN" w:bidi="ar-SA"/>
        </w:rPr>
        <w:t>（三）定期发布《衡阳市房地产市场形势分析报告》。我中心加强了房地产市场分析工作，为我市房地产调控工作提供了可靠的数据支持和技术手段。同时根据住建部和省住建厅的要求，做好了衡阳地区房地产市场信息的汇总和日报、月报工作。</w:t>
      </w:r>
    </w:p>
    <w:p w14:paraId="1D6CBA0D">
      <w:pPr>
        <w:pStyle w:val="2"/>
        <w:numPr>
          <w:ilvl w:val="0"/>
          <w:numId w:val="0"/>
        </w:numPr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0"/>
          <w:kern w:val="2"/>
          <w:sz w:val="31"/>
          <w:szCs w:val="31"/>
          <w:shd w:val="clear" w:color="auto" w:fill="FFFFFF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333333"/>
          <w:spacing w:val="0"/>
          <w:kern w:val="2"/>
          <w:sz w:val="31"/>
          <w:szCs w:val="31"/>
          <w:shd w:val="clear" w:color="auto" w:fill="FFFFFF"/>
          <w:lang w:val="en-US" w:eastAsia="zh-CN" w:bidi="ar-SA"/>
        </w:rPr>
        <w:t>（四）网络安全工作有成效。网络安全关系着“智慧住建”系统的运行稳定和数据库安全，我中心高度重视网络安全，在现有条件下尽力完善网络安全措施。</w:t>
      </w:r>
    </w:p>
    <w:p w14:paraId="29F0FD9F">
      <w:pPr>
        <w:pStyle w:val="19"/>
        <w:widowControl/>
        <w:ind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七、存在的问题及原因分析</w:t>
      </w:r>
    </w:p>
    <w:p w14:paraId="75E3318A">
      <w:pPr>
        <w:pStyle w:val="19"/>
        <w:widowControl/>
        <w:ind w:firstLine="64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目前所存在的问题：预算的各项目经费严重不足。</w:t>
      </w:r>
    </w:p>
    <w:p w14:paraId="0CC52199">
      <w:pPr>
        <w:widowControl/>
        <w:numPr>
          <w:ilvl w:val="0"/>
          <w:numId w:val="2"/>
        </w:numPr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下一步改进措施</w:t>
      </w:r>
      <w:r>
        <w:rPr>
          <w:rFonts w:hint="eastAsia" w:ascii="Times New Roman" w:hAnsi="Times New Roman" w:eastAsia="黑体"/>
          <w:sz w:val="32"/>
          <w:szCs w:val="32"/>
        </w:rPr>
        <w:t>（无）</w:t>
      </w:r>
    </w:p>
    <w:p w14:paraId="0C897154">
      <w:pPr>
        <w:widowControl/>
        <w:ind w:firstLine="640" w:firstLineChars="200"/>
        <w:rPr>
          <w:rFonts w:ascii="Times New Roman" w:hAnsi="Times New Roman"/>
        </w:rPr>
      </w:pPr>
      <w:r>
        <w:rPr>
          <w:rFonts w:ascii="Times New Roman" w:hAnsi="Times New Roman" w:eastAsia="黑体"/>
          <w:sz w:val="32"/>
          <w:szCs w:val="32"/>
        </w:rPr>
        <w:t>九、其他需要说明的情况</w:t>
      </w:r>
      <w:r>
        <w:rPr>
          <w:rFonts w:hint="eastAsia" w:ascii="Times New Roman" w:hAnsi="Times New Roman" w:eastAsia="黑体"/>
          <w:sz w:val="32"/>
          <w:szCs w:val="32"/>
        </w:rPr>
        <w:t>（无）</w:t>
      </w:r>
    </w:p>
    <w:sectPr>
      <w:footerReference r:id="rId3" w:type="default"/>
      <w:footerReference r:id="rId4" w:type="even"/>
      <w:pgSz w:w="11906" w:h="16838"/>
      <w:pgMar w:top="1440" w:right="1797" w:bottom="1440" w:left="1797" w:header="851" w:footer="992" w:gutter="0"/>
      <w:pgNumType w:fmt="numberInDash"/>
      <w:cols w:space="425" w:num="1"/>
      <w:titlePg/>
      <w:rtlGutter w:val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25F253">
    <w:pPr>
      <w:pStyle w:val="7"/>
      <w:framePr w:wrap="around" w:vAnchor="text" w:hAnchor="margin" w:xAlign="outside" w:y="1"/>
      <w:rPr>
        <w:rStyle w:val="12"/>
        <w:rFonts w:ascii="Times New Roman" w:hAnsi="Times New Roman"/>
        <w:sz w:val="28"/>
        <w:szCs w:val="28"/>
      </w:rPr>
    </w:pPr>
    <w:r>
      <w:rPr>
        <w:rStyle w:val="12"/>
        <w:rFonts w:ascii="Times New Roman" w:hAnsi="Times New Roman"/>
        <w:sz w:val="28"/>
        <w:szCs w:val="28"/>
      </w:rPr>
      <w:fldChar w:fldCharType="begin"/>
    </w:r>
    <w:r>
      <w:rPr>
        <w:rStyle w:val="12"/>
        <w:rFonts w:ascii="Times New Roman" w:hAnsi="Times New Roman"/>
        <w:sz w:val="28"/>
        <w:szCs w:val="28"/>
      </w:rPr>
      <w:instrText xml:space="preserve">PAGE  </w:instrText>
    </w:r>
    <w:r>
      <w:rPr>
        <w:rStyle w:val="12"/>
        <w:rFonts w:ascii="Times New Roman" w:hAnsi="Times New Roman"/>
        <w:sz w:val="28"/>
        <w:szCs w:val="28"/>
      </w:rPr>
      <w:fldChar w:fldCharType="separate"/>
    </w:r>
    <w:r>
      <w:rPr>
        <w:rStyle w:val="12"/>
        <w:rFonts w:ascii="Times New Roman" w:hAnsi="Times New Roman"/>
        <w:sz w:val="28"/>
        <w:szCs w:val="28"/>
      </w:rPr>
      <w:t>- 7 -</w:t>
    </w:r>
    <w:r>
      <w:rPr>
        <w:rStyle w:val="12"/>
        <w:rFonts w:ascii="Times New Roman" w:hAnsi="Times New Roman"/>
        <w:sz w:val="28"/>
        <w:szCs w:val="28"/>
      </w:rPr>
      <w:fldChar w:fldCharType="end"/>
    </w:r>
  </w:p>
  <w:p w14:paraId="6317DC81">
    <w:pPr>
      <w:pStyle w:val="7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E1C7E0">
    <w:pPr>
      <w:pStyle w:val="7"/>
      <w:framePr w:wrap="around" w:vAnchor="text" w:hAnchor="margin" w:xAlign="outside" w:y="1"/>
      <w:rPr>
        <w:rStyle w:val="12"/>
      </w:rPr>
    </w:pPr>
    <w:r>
      <w:rPr>
        <w:rStyle w:val="12"/>
      </w:rPr>
      <w:fldChar w:fldCharType="begin"/>
    </w:r>
    <w:r>
      <w:rPr>
        <w:rStyle w:val="12"/>
      </w:rPr>
      <w:instrText xml:space="preserve">PAGE  </w:instrText>
    </w:r>
    <w:r>
      <w:rPr>
        <w:rStyle w:val="12"/>
      </w:rPr>
      <w:fldChar w:fldCharType="end"/>
    </w:r>
  </w:p>
  <w:p w14:paraId="2D914689">
    <w:pPr>
      <w:pStyle w:val="7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5413810"/>
    <w:multiLevelType w:val="singleLevel"/>
    <w:tmpl w:val="95413810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EB03DEF"/>
    <w:multiLevelType w:val="singleLevel"/>
    <w:tmpl w:val="3EB03DE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yYWM4ZjAwYzYwOTczYTdkNjYwMDNiZDQ1MWM2MTYifQ=="/>
  </w:docVars>
  <w:rsids>
    <w:rsidRoot w:val="00C553EF"/>
    <w:rsid w:val="00012C93"/>
    <w:rsid w:val="000734E3"/>
    <w:rsid w:val="000773D5"/>
    <w:rsid w:val="00080625"/>
    <w:rsid w:val="00093B9D"/>
    <w:rsid w:val="00094646"/>
    <w:rsid w:val="000A561A"/>
    <w:rsid w:val="000D4A56"/>
    <w:rsid w:val="000D5E7F"/>
    <w:rsid w:val="000E2B59"/>
    <w:rsid w:val="000F775C"/>
    <w:rsid w:val="00135131"/>
    <w:rsid w:val="00135395"/>
    <w:rsid w:val="0013700F"/>
    <w:rsid w:val="00184AF2"/>
    <w:rsid w:val="001A7CAB"/>
    <w:rsid w:val="001B56F4"/>
    <w:rsid w:val="001B69B6"/>
    <w:rsid w:val="001B6D56"/>
    <w:rsid w:val="00220A85"/>
    <w:rsid w:val="002238BB"/>
    <w:rsid w:val="00225BED"/>
    <w:rsid w:val="002320EB"/>
    <w:rsid w:val="00234100"/>
    <w:rsid w:val="002A03D6"/>
    <w:rsid w:val="002D01D7"/>
    <w:rsid w:val="002F05A3"/>
    <w:rsid w:val="003056F3"/>
    <w:rsid w:val="003126FC"/>
    <w:rsid w:val="00323CF3"/>
    <w:rsid w:val="0032533F"/>
    <w:rsid w:val="0036719D"/>
    <w:rsid w:val="003A1408"/>
    <w:rsid w:val="003B7F5C"/>
    <w:rsid w:val="003E1FD6"/>
    <w:rsid w:val="003E5841"/>
    <w:rsid w:val="003F1540"/>
    <w:rsid w:val="004148E0"/>
    <w:rsid w:val="004217FE"/>
    <w:rsid w:val="00440BFE"/>
    <w:rsid w:val="00463FD5"/>
    <w:rsid w:val="00474AD0"/>
    <w:rsid w:val="00487AC5"/>
    <w:rsid w:val="00496F05"/>
    <w:rsid w:val="00537950"/>
    <w:rsid w:val="00551D43"/>
    <w:rsid w:val="00566BA9"/>
    <w:rsid w:val="005743B4"/>
    <w:rsid w:val="00575C40"/>
    <w:rsid w:val="00581EEE"/>
    <w:rsid w:val="005851E9"/>
    <w:rsid w:val="00591495"/>
    <w:rsid w:val="00594AEE"/>
    <w:rsid w:val="005D3049"/>
    <w:rsid w:val="006264B7"/>
    <w:rsid w:val="006964D9"/>
    <w:rsid w:val="006F37DA"/>
    <w:rsid w:val="007123D7"/>
    <w:rsid w:val="00713B58"/>
    <w:rsid w:val="00751BF0"/>
    <w:rsid w:val="00764972"/>
    <w:rsid w:val="00771B0E"/>
    <w:rsid w:val="00794C19"/>
    <w:rsid w:val="007A6F2C"/>
    <w:rsid w:val="007B3731"/>
    <w:rsid w:val="007C3C5A"/>
    <w:rsid w:val="007C3F2D"/>
    <w:rsid w:val="007E2D1B"/>
    <w:rsid w:val="007E3E71"/>
    <w:rsid w:val="008241E1"/>
    <w:rsid w:val="008429A7"/>
    <w:rsid w:val="00847A3C"/>
    <w:rsid w:val="00893AEC"/>
    <w:rsid w:val="008C1A1B"/>
    <w:rsid w:val="00915B37"/>
    <w:rsid w:val="00935689"/>
    <w:rsid w:val="00940D4A"/>
    <w:rsid w:val="00970BB5"/>
    <w:rsid w:val="00971DB4"/>
    <w:rsid w:val="0097394E"/>
    <w:rsid w:val="00995EF0"/>
    <w:rsid w:val="009D0C0A"/>
    <w:rsid w:val="00A0127D"/>
    <w:rsid w:val="00A148B9"/>
    <w:rsid w:val="00A2187E"/>
    <w:rsid w:val="00A3605E"/>
    <w:rsid w:val="00A377C0"/>
    <w:rsid w:val="00A55C61"/>
    <w:rsid w:val="00A801F4"/>
    <w:rsid w:val="00AC12C1"/>
    <w:rsid w:val="00AC5F31"/>
    <w:rsid w:val="00AF15ED"/>
    <w:rsid w:val="00B049DD"/>
    <w:rsid w:val="00B17D23"/>
    <w:rsid w:val="00B62F82"/>
    <w:rsid w:val="00B702EE"/>
    <w:rsid w:val="00B86511"/>
    <w:rsid w:val="00B86BA1"/>
    <w:rsid w:val="00B9399A"/>
    <w:rsid w:val="00BD4955"/>
    <w:rsid w:val="00C23636"/>
    <w:rsid w:val="00C553EF"/>
    <w:rsid w:val="00C641BD"/>
    <w:rsid w:val="00C91F4C"/>
    <w:rsid w:val="00C9428C"/>
    <w:rsid w:val="00CB76C0"/>
    <w:rsid w:val="00CC6012"/>
    <w:rsid w:val="00CD032C"/>
    <w:rsid w:val="00CD7E4E"/>
    <w:rsid w:val="00CE4DFE"/>
    <w:rsid w:val="00CF0AA7"/>
    <w:rsid w:val="00D64926"/>
    <w:rsid w:val="00D74987"/>
    <w:rsid w:val="00D812AD"/>
    <w:rsid w:val="00D8620A"/>
    <w:rsid w:val="00D90B2D"/>
    <w:rsid w:val="00DC7EE1"/>
    <w:rsid w:val="00DD4AA2"/>
    <w:rsid w:val="00DD5A15"/>
    <w:rsid w:val="00E0096D"/>
    <w:rsid w:val="00E01819"/>
    <w:rsid w:val="00E039BF"/>
    <w:rsid w:val="00E323CD"/>
    <w:rsid w:val="00E50CF2"/>
    <w:rsid w:val="00E8571A"/>
    <w:rsid w:val="00E94B12"/>
    <w:rsid w:val="00EE1946"/>
    <w:rsid w:val="00EF0339"/>
    <w:rsid w:val="00F137EB"/>
    <w:rsid w:val="00F2080B"/>
    <w:rsid w:val="00F55DE1"/>
    <w:rsid w:val="00FA2BB2"/>
    <w:rsid w:val="00FC450D"/>
    <w:rsid w:val="00FD081E"/>
    <w:rsid w:val="00FE100B"/>
    <w:rsid w:val="00FE4826"/>
    <w:rsid w:val="01170C55"/>
    <w:rsid w:val="028D58A7"/>
    <w:rsid w:val="03043E77"/>
    <w:rsid w:val="07A116BA"/>
    <w:rsid w:val="09FF4474"/>
    <w:rsid w:val="0C292492"/>
    <w:rsid w:val="0F262ACD"/>
    <w:rsid w:val="13EC7D20"/>
    <w:rsid w:val="14DA0D1E"/>
    <w:rsid w:val="15DA6FC6"/>
    <w:rsid w:val="166F2EBE"/>
    <w:rsid w:val="18934E7A"/>
    <w:rsid w:val="1C193BC1"/>
    <w:rsid w:val="1DB90C80"/>
    <w:rsid w:val="217D46AD"/>
    <w:rsid w:val="27AF3FDF"/>
    <w:rsid w:val="2CA61530"/>
    <w:rsid w:val="2E660FDE"/>
    <w:rsid w:val="2F9E2800"/>
    <w:rsid w:val="30C916BD"/>
    <w:rsid w:val="31221B4D"/>
    <w:rsid w:val="31556AAC"/>
    <w:rsid w:val="3390674C"/>
    <w:rsid w:val="371D6FD1"/>
    <w:rsid w:val="388D493A"/>
    <w:rsid w:val="398B5761"/>
    <w:rsid w:val="3A9A3BB2"/>
    <w:rsid w:val="3BE01C93"/>
    <w:rsid w:val="3C667DC0"/>
    <w:rsid w:val="3CE867A4"/>
    <w:rsid w:val="3F33282F"/>
    <w:rsid w:val="3F52287D"/>
    <w:rsid w:val="416B7C26"/>
    <w:rsid w:val="41C61B6B"/>
    <w:rsid w:val="4278084D"/>
    <w:rsid w:val="43495316"/>
    <w:rsid w:val="44A75419"/>
    <w:rsid w:val="46164E3B"/>
    <w:rsid w:val="46234347"/>
    <w:rsid w:val="4C067692"/>
    <w:rsid w:val="538C128A"/>
    <w:rsid w:val="561346BC"/>
    <w:rsid w:val="568A3CC6"/>
    <w:rsid w:val="5C2F64BB"/>
    <w:rsid w:val="5D861D35"/>
    <w:rsid w:val="609A4BD3"/>
    <w:rsid w:val="60F6607C"/>
    <w:rsid w:val="62D53F01"/>
    <w:rsid w:val="62F62474"/>
    <w:rsid w:val="640815D9"/>
    <w:rsid w:val="66B91727"/>
    <w:rsid w:val="68867BDE"/>
    <w:rsid w:val="6AF80B9B"/>
    <w:rsid w:val="6BAD2A66"/>
    <w:rsid w:val="6CDE3E9F"/>
    <w:rsid w:val="6F00699E"/>
    <w:rsid w:val="71125845"/>
    <w:rsid w:val="773A3B3B"/>
    <w:rsid w:val="77A24B7F"/>
    <w:rsid w:val="78660559"/>
    <w:rsid w:val="7F4A2182"/>
    <w:rsid w:val="7F531EB8"/>
    <w:rsid w:val="7F910F9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spacing w:line="600" w:lineRule="exact"/>
      <w:ind w:firstLine="200" w:firstLineChars="200"/>
    </w:pPr>
    <w:rPr>
      <w:rFonts w:ascii="Times New Roman" w:hAnsi="Times New Roman" w:cs="Times New Roman"/>
      <w:sz w:val="24"/>
      <w:szCs w:val="24"/>
    </w:rPr>
  </w:style>
  <w:style w:type="paragraph" w:styleId="3">
    <w:name w:val="Body Text"/>
    <w:basedOn w:val="1"/>
    <w:next w:val="4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4">
    <w:name w:val="正文首行缩进1"/>
    <w:basedOn w:val="1"/>
    <w:qFormat/>
    <w:uiPriority w:val="0"/>
    <w:pPr>
      <w:spacing w:after="120"/>
      <w:ind w:firstLine="420" w:firstLineChars="100"/>
    </w:pPr>
    <w:rPr>
      <w:szCs w:val="22"/>
    </w:rPr>
  </w:style>
  <w:style w:type="paragraph" w:styleId="5">
    <w:name w:val="annotation text"/>
    <w:basedOn w:val="1"/>
    <w:link w:val="14"/>
    <w:qFormat/>
    <w:uiPriority w:val="99"/>
    <w:pPr>
      <w:jc w:val="left"/>
    </w:pPr>
    <w:rPr>
      <w:rFonts w:ascii="Times New Roman" w:hAnsi="Times New Roman"/>
      <w:szCs w:val="24"/>
    </w:rPr>
  </w:style>
  <w:style w:type="paragraph" w:styleId="6">
    <w:name w:val="Balloon Text"/>
    <w:basedOn w:val="1"/>
    <w:link w:val="15"/>
    <w:qFormat/>
    <w:uiPriority w:val="99"/>
    <w:rPr>
      <w:rFonts w:ascii="Times New Roman" w:hAnsi="Times New Roman"/>
      <w:sz w:val="18"/>
      <w:szCs w:val="18"/>
    </w:rPr>
  </w:style>
  <w:style w:type="paragraph" w:styleId="7">
    <w:name w:val="footer"/>
    <w:basedOn w:val="1"/>
    <w:link w:val="16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7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autoRedefine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12">
    <w:name w:val="page number"/>
    <w:basedOn w:val="11"/>
    <w:autoRedefine/>
    <w:qFormat/>
    <w:uiPriority w:val="99"/>
    <w:rPr>
      <w:rFonts w:cs="Times New Roman"/>
    </w:rPr>
  </w:style>
  <w:style w:type="character" w:styleId="13">
    <w:name w:val="annotation reference"/>
    <w:basedOn w:val="11"/>
    <w:autoRedefine/>
    <w:qFormat/>
    <w:uiPriority w:val="99"/>
    <w:rPr>
      <w:rFonts w:cs="Times New Roman"/>
      <w:sz w:val="21"/>
      <w:szCs w:val="21"/>
    </w:rPr>
  </w:style>
  <w:style w:type="character" w:customStyle="1" w:styleId="14">
    <w:name w:val="批注文字 Char"/>
    <w:basedOn w:val="11"/>
    <w:link w:val="5"/>
    <w:autoRedefine/>
    <w:qFormat/>
    <w:locked/>
    <w:uiPriority w:val="99"/>
    <w:rPr>
      <w:rFonts w:ascii="Times New Roman" w:hAnsi="Times New Roman" w:eastAsia="宋体" w:cs="Times New Roman"/>
      <w:sz w:val="24"/>
      <w:szCs w:val="24"/>
    </w:rPr>
  </w:style>
  <w:style w:type="character" w:customStyle="1" w:styleId="15">
    <w:name w:val="批注框文本 Char"/>
    <w:basedOn w:val="11"/>
    <w:link w:val="6"/>
    <w:autoRedefine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页脚 Char"/>
    <w:basedOn w:val="11"/>
    <w:link w:val="7"/>
    <w:autoRedefine/>
    <w:qFormat/>
    <w:locked/>
    <w:uiPriority w:val="99"/>
    <w:rPr>
      <w:rFonts w:cs="Times New Roman"/>
      <w:sz w:val="18"/>
      <w:szCs w:val="18"/>
    </w:rPr>
  </w:style>
  <w:style w:type="character" w:customStyle="1" w:styleId="17">
    <w:name w:val="页眉 Char"/>
    <w:basedOn w:val="11"/>
    <w:link w:val="8"/>
    <w:autoRedefine/>
    <w:qFormat/>
    <w:locked/>
    <w:uiPriority w:val="99"/>
    <w:rPr>
      <w:rFonts w:cs="Times New Roman"/>
      <w:sz w:val="18"/>
      <w:szCs w:val="18"/>
    </w:rPr>
  </w:style>
  <w:style w:type="paragraph" w:customStyle="1" w:styleId="18">
    <w:name w:val="列出段落1"/>
    <w:basedOn w:val="1"/>
    <w:autoRedefine/>
    <w:qFormat/>
    <w:uiPriority w:val="99"/>
    <w:pPr>
      <w:ind w:firstLine="420" w:firstLineChars="200"/>
    </w:pPr>
    <w:rPr>
      <w:rFonts w:ascii="Times New Roman" w:hAnsi="Times New Roman"/>
      <w:szCs w:val="24"/>
    </w:rPr>
  </w:style>
  <w:style w:type="paragraph" w:styleId="19">
    <w:name w:val="List Paragraph"/>
    <w:basedOn w:val="1"/>
    <w:autoRedefine/>
    <w:qFormat/>
    <w:uiPriority w:val="99"/>
    <w:pPr>
      <w:ind w:firstLine="420" w:firstLineChars="200"/>
    </w:pPr>
    <w:rPr>
      <w:rFonts w:ascii="Times New Roman" w:hAnsi="Times New Roman"/>
      <w:szCs w:val="24"/>
    </w:rPr>
  </w:style>
  <w:style w:type="paragraph" w:customStyle="1" w:styleId="20">
    <w:name w:val="修订1"/>
    <w:autoRedefine/>
    <w: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1295</Words>
  <Characters>1456</Characters>
  <Lines>29</Lines>
  <Paragraphs>8</Paragraphs>
  <TotalTime>6</TotalTime>
  <ScaleCrop>false</ScaleCrop>
  <LinksUpToDate>false</LinksUpToDate>
  <CharactersWithSpaces>1468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2021-01-21T07:42:00Z</dcterms:created>
  <dc:creator>lenovo</dc:creator>
  <cp:lastModifiedBy>Administrator</cp:lastModifiedBy>
  <cp:lastPrinted>2024-04-09T09:18:00Z</cp:lastPrinted>
  <dcterms:modified xsi:type="dcterms:W3CDTF">2024-09-27T07:45:11Z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6288B799B8D344369162DC5D77E233D1_13</vt:lpwstr>
  </property>
</Properties>
</file>