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小标宋_GBK"/>
          <w:sz w:val="36"/>
          <w:szCs w:val="36"/>
        </w:rPr>
      </w:pPr>
      <w:bookmarkStart w:id="0" w:name="_GoBack"/>
      <w:bookmarkEnd w:id="0"/>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项目支出绩效自评汇总报告</w:t>
      </w:r>
    </w:p>
    <w:p>
      <w:pPr>
        <w:spacing w:line="600" w:lineRule="exact"/>
        <w:jc w:val="center"/>
        <w:rPr>
          <w:rFonts w:ascii="Times New Roman" w:hAnsi="Times New Roman" w:eastAsia="楷体_GB2312"/>
          <w:sz w:val="32"/>
          <w:szCs w:val="32"/>
        </w:rPr>
      </w:pPr>
    </w:p>
    <w:p>
      <w:pPr>
        <w:spacing w:line="360" w:lineRule="exact"/>
        <w:rPr>
          <w:rFonts w:ascii="Times New Roman" w:hAnsi="Times New Roman" w:eastAsia="黑体"/>
          <w:kern w:val="0"/>
          <w:sz w:val="32"/>
          <w:szCs w:val="32"/>
        </w:rPr>
      </w:pP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一、项目支出基本情况</w:t>
      </w:r>
    </w:p>
    <w:p>
      <w:pPr>
        <w:spacing w:line="600"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（一）项目支出概况。</w:t>
      </w:r>
    </w:p>
    <w:p>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2023年部门总支出3006.99万元，其中基本支出2114.07万元，项目支出892.92万元（其中业务工作经费357.19万元，运行维护经费149.98万元，本级专项资金385.75万元）。</w:t>
      </w:r>
    </w:p>
    <w:p>
      <w:pPr>
        <w:spacing w:line="600"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（二）项目资金使用管理情况。</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项目支出组织管理机构</w:t>
      </w:r>
      <w:r>
        <w:rPr>
          <w:rFonts w:hint="eastAsia" w:ascii="Times New Roman" w:hAnsi="Times New Roman" w:eastAsia="仿宋_GB2312"/>
          <w:sz w:val="32"/>
          <w:szCs w:val="32"/>
          <w:lang w:eastAsia="zh-CN"/>
        </w:rPr>
        <w:t>为衡阳市林业局，</w:t>
      </w:r>
      <w:r>
        <w:rPr>
          <w:rFonts w:hint="eastAsia" w:ascii="仿宋_GB2312" w:eastAsia="仿宋_GB2312"/>
          <w:sz w:val="32"/>
          <w:szCs w:val="32"/>
        </w:rPr>
        <w:t>财务制度健全，基本建设财务单独建账，单独核算，专人负责，专款专用。</w:t>
      </w:r>
      <w:r>
        <w:rPr>
          <w:rFonts w:ascii="Times New Roman" w:hAnsi="Times New Roman" w:eastAsia="仿宋_GB2312"/>
          <w:sz w:val="32"/>
          <w:szCs w:val="32"/>
        </w:rPr>
        <w:t>项目资金投向结构合理性，资金拨付及时，项目立项、申报、评审、监督管理、验收等阶段组织实施合规。</w:t>
      </w:r>
    </w:p>
    <w:p>
      <w:pPr>
        <w:spacing w:line="600" w:lineRule="exact"/>
        <w:ind w:firstLine="640" w:firstLineChars="200"/>
        <w:rPr>
          <w:rFonts w:hint="eastAsia" w:ascii="Times New Roman" w:hAnsi="Times New Roman" w:eastAsia="仿宋_GB2312"/>
          <w:sz w:val="32"/>
          <w:szCs w:val="32"/>
          <w:lang w:eastAsia="zh-CN"/>
        </w:rPr>
      </w:pPr>
      <w:r>
        <w:rPr>
          <w:rFonts w:ascii="Times New Roman" w:hAnsi="Times New Roman" w:eastAsia="楷体_GB2312"/>
          <w:b/>
          <w:sz w:val="32"/>
          <w:szCs w:val="32"/>
        </w:rPr>
        <w:t>（三）项目支出绩效目标完成程度。</w:t>
      </w:r>
      <w:r>
        <w:rPr>
          <w:rFonts w:hint="eastAsia" w:ascii="Times New Roman" w:hAnsi="Times New Roman" w:eastAsia="仿宋_GB2312"/>
          <w:sz w:val="32"/>
          <w:szCs w:val="32"/>
          <w:lang w:eastAsia="zh-CN"/>
        </w:rPr>
        <w:t>全市高标准完成人工造林11.7万亩，持续开展通道绿化三年行动计划，年度完成通道绿化6474.6公里。成功争取2023年国土绿化试点示范项目和中央财政油茶产业发展示范奖补项目落地实施；圆满承办了 2023年全省油茶产业高质量发展现场推进会；造林树种良种使用率90％以上，森林督查问题整改到位率达90％以上，全面完成自然保护地生态环境问题整改工作任务；全市湿地保护率稳定在170％以上；完成油茶新造13.81万亩，低改27.91万亩，未发生较大以上安全生产事故，未发生重大以上森林火灾和人员伤亡事故，实现了林业领域安全生产零事故，筑牢了林业安全发展底线。</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二、绩效评价工作情况</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按照时间节点保质保量完成了绩效评价工作。</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三、项目支出主要绩效及评价结论</w:t>
      </w:r>
    </w:p>
    <w:p>
      <w:pPr>
        <w:spacing w:line="600" w:lineRule="exact"/>
        <w:ind w:firstLine="640" w:firstLineChars="200"/>
        <w:rPr>
          <w:rFonts w:hint="default" w:ascii="Times New Roman" w:hAnsi="Times New Roman" w:eastAsia="黑体"/>
          <w:sz w:val="32"/>
          <w:szCs w:val="32"/>
          <w:lang w:val="en-US"/>
        </w:rPr>
      </w:pPr>
      <w:r>
        <w:rPr>
          <w:rFonts w:hint="eastAsia" w:ascii="Times New Roman" w:hAnsi="Times New Roman" w:eastAsia="仿宋_GB2312"/>
          <w:sz w:val="32"/>
          <w:szCs w:val="32"/>
          <w:lang w:val="en-US" w:eastAsia="zh-CN"/>
        </w:rPr>
        <w:t>对育林基金转移支付、森林防火工作经费、森林防火物资购置和监测调度中心建设、生态保护修复及发展-防火、外来物种普查、野生动植物保护监测及救护、油茶籽粕科技项目、林长制工作经费、义务植树工作经费和2022年油茶专项资金10个项目做了绩效自评。其中育林基金转移支付、森林防火工作经费、外来物种普查、林长制工作经费和义务植树工作经费自评为100分；森林防火物资购置和监测调度中心建设自评为92.12分，生态保护修复及发展-防火自评为91.38分，野生动植物保护监测及救护自评为96.4分，油茶籽粕科技项目自评为90.16分，2022年油茶专项资金自评为96.25分。</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四、绩效评价指标分析</w:t>
      </w:r>
    </w:p>
    <w:p>
      <w:pPr>
        <w:spacing w:line="600"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（一）项目支出决策情况</w:t>
      </w:r>
    </w:p>
    <w:p>
      <w:pPr>
        <w:adjustRightInd w:val="0"/>
        <w:snapToGrid w:val="0"/>
        <w:spacing w:line="600" w:lineRule="exact"/>
        <w:ind w:firstLine="640" w:firstLineChars="200"/>
        <w:rPr>
          <w:rFonts w:ascii="Times New Roman" w:hAnsi="Times New Roman" w:eastAsia="楷体_GB2312"/>
          <w:b/>
          <w:sz w:val="32"/>
          <w:szCs w:val="32"/>
        </w:rPr>
      </w:pPr>
      <w:r>
        <w:rPr>
          <w:rFonts w:hint="eastAsia" w:eastAsia="仿宋_GB2312"/>
          <w:sz w:val="32"/>
          <w:szCs w:val="32"/>
          <w:lang w:eastAsia="zh-CN"/>
        </w:rPr>
        <w:t>我局项目决策依据符合年度工作计划，资金分配因数全面合理，资金使用合理合规。</w:t>
      </w:r>
    </w:p>
    <w:p>
      <w:pPr>
        <w:spacing w:line="600"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（二）项目执行过程情况</w:t>
      </w:r>
    </w:p>
    <w:p>
      <w:pPr>
        <w:spacing w:line="600" w:lineRule="exact"/>
        <w:ind w:firstLine="640" w:firstLineChars="200"/>
        <w:rPr>
          <w:rFonts w:hint="default" w:ascii="Times New Roman" w:hAnsi="Times New Roman" w:eastAsia="楷体_GB2312"/>
          <w:b/>
          <w:sz w:val="32"/>
          <w:szCs w:val="32"/>
          <w:lang w:val="en-US"/>
        </w:rPr>
      </w:pPr>
      <w:r>
        <w:rPr>
          <w:rFonts w:hint="eastAsia" w:ascii="Times New Roman" w:hAnsi="Times New Roman" w:eastAsia="仿宋_GB2312"/>
          <w:sz w:val="32"/>
          <w:szCs w:val="32"/>
          <w:lang w:val="en-US" w:eastAsia="zh-CN"/>
        </w:rPr>
        <w:t>育林基金转移支付、森林防火工作经费、外来物种普查、林长制工作经费和义务植树工作经费全部执行完毕，森林防火物资购置和监测调度中心建设、生态保护修复及发展-防火、野生动植物保护监测及救护、油茶籽科技项目和2022年油茶专项资金5个项目资金尚未支付完毕，项目将跨年度使用。</w:t>
      </w:r>
    </w:p>
    <w:p>
      <w:pPr>
        <w:spacing w:line="600"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（三）项目支出产出情况</w:t>
      </w:r>
    </w:p>
    <w:p>
      <w:pPr>
        <w:spacing w:line="600" w:lineRule="exact"/>
        <w:ind w:firstLine="640" w:firstLineChars="200"/>
        <w:rPr>
          <w:rFonts w:ascii="Times New Roman" w:hAnsi="Times New Roman" w:eastAsia="楷体_GB2312"/>
          <w:b/>
          <w:sz w:val="32"/>
          <w:szCs w:val="32"/>
        </w:rPr>
      </w:pPr>
      <w:r>
        <w:rPr>
          <w:rFonts w:hint="eastAsia" w:ascii="Times New Roman" w:hAnsi="Times New Roman" w:eastAsia="仿宋_GB2312"/>
          <w:sz w:val="32"/>
          <w:szCs w:val="32"/>
          <w:lang w:eastAsia="zh-CN"/>
        </w:rPr>
        <w:t>全市高标准完成人工造林11.7万亩，持续开展通道绿化三年行动计划，年度完成通道绿化6474.6公里。成功争取2023年国土绿化试点示范项目和中央财政油茶产业发展示范奖补项目落地实施；圆满承办了 2023年全省油茶产业高质量发展现场推进会；造林树种良种使用率90％以上，森林督查问题整改到位率达90％以上，全面完成自然保护地生态环境问题整改工作任务；全市湿地保护率稳定在170％以上；完成油茶新造13.81万亩，低改27.91万亩。</w:t>
      </w:r>
    </w:p>
    <w:p>
      <w:pPr>
        <w:spacing w:line="600"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（四）项目支出效益情况</w:t>
      </w:r>
    </w:p>
    <w:p>
      <w:pPr>
        <w:spacing w:line="600" w:lineRule="exact"/>
        <w:ind w:firstLine="640" w:firstLineChars="200"/>
        <w:rPr>
          <w:rFonts w:hint="default" w:ascii="Times New Roman" w:hAnsi="Times New Roman" w:eastAsia="楷体_GB2312"/>
          <w:b/>
          <w:sz w:val="32"/>
          <w:szCs w:val="32"/>
          <w:lang w:val="en-US"/>
        </w:rPr>
      </w:pPr>
      <w:r>
        <w:rPr>
          <w:rFonts w:hint="eastAsia" w:ascii="Times New Roman" w:hAnsi="Times New Roman" w:eastAsia="仿宋_GB2312"/>
          <w:sz w:val="32"/>
          <w:szCs w:val="32"/>
          <w:lang w:eastAsia="zh-CN"/>
        </w:rPr>
        <w:t>全年未发生较大以上安全生产事故，未发生重大以上森林火灾和人员伤亡事故，实现了林业领域安全生产零事故，筑牢了林业安全发展底线。对林业部门的满意度在</w:t>
      </w:r>
      <w:r>
        <w:rPr>
          <w:rFonts w:hint="eastAsia" w:ascii="Times New Roman" w:hAnsi="Times New Roman" w:eastAsia="仿宋_GB2312"/>
          <w:sz w:val="32"/>
          <w:szCs w:val="32"/>
          <w:lang w:val="en-US" w:eastAsia="zh-CN"/>
        </w:rPr>
        <w:t>95%以上。</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五、主要经验及做法、存在的问题及原因分析</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一是加强全局统筹管理，项目资金安排主要由林业局统筹，按照项目进度统一报账付款；</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二是落实项目责任制，项目责任落实到具体科室，要求各科室对项目进度负责。</w:t>
      </w:r>
    </w:p>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- 15 -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NGYxOTE0NmZhMmU0MjFhYTczZTk5MjA5YTA3YjMifQ=="/>
  </w:docVars>
  <w:rsids>
    <w:rsidRoot w:val="69F33B66"/>
    <w:rsid w:val="0BC758A0"/>
    <w:rsid w:val="12807C32"/>
    <w:rsid w:val="14E37D0D"/>
    <w:rsid w:val="32C47D1C"/>
    <w:rsid w:val="36E7D3C1"/>
    <w:rsid w:val="69F3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character" w:styleId="5">
    <w:name w:val="page number"/>
    <w:basedOn w:val="4"/>
    <w:autoRedefine/>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2024-03-20T10:43:00Z</dcterms:created>
  <dc:creator>陈颖</dc:creator>
  <cp:lastModifiedBy>kylin</cp:lastModifiedBy>
  <dcterms:modified xsi:type="dcterms:W3CDTF">2024-09-29T16:26:54Z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6E50A61FBD0D4B6B81BE399C887B77E1_11</vt:lpwstr>
  </property>
</Properties>
</file>