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F20A">
      <w:pPr>
        <w:spacing w:line="600" w:lineRule="exact"/>
        <w:jc w:val="both"/>
        <w:rPr>
          <w:rFonts w:ascii="Times New Roman" w:hAnsi="Times New Roman" w:eastAsia="方正小标宋简体"/>
          <w:sz w:val="44"/>
          <w:szCs w:val="44"/>
        </w:rPr>
      </w:pPr>
    </w:p>
    <w:p w14:paraId="1A98BF7C">
      <w:pPr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1E422BB8">
      <w:pPr>
        <w:pStyle w:val="21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 w14:paraId="1041AC03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（一）职能职责</w:t>
      </w:r>
    </w:p>
    <w:p w14:paraId="7B93349E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1．根据市政府授权，依照《中华人民共和国公司法》、《中华人民共和国企业国有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资产法》等法律和行政法规履行出资人 职责，加强所监管企业国有资产的管理工作。 </w:t>
      </w:r>
    </w:p>
    <w:p w14:paraId="66A5FC74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2．承担监督所监管企业国有资产保值增值的责任。建立和完善国有资产保值增值指标体系，制定考核标准，通过统计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稽核对所监管企业国有资产的保值增值情况进行监管，负责做好所监管企业工资分配管理工作，拟订所监管企业负责人收入分配政策并组织实施。 </w:t>
      </w:r>
    </w:p>
    <w:p w14:paraId="4E999CFD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．负责组织所监管企业上缴国有资本收益，组织拟订国有资本经营预算有关管理制度和办法，按照有关规定负责国有资本经营预决算编制和执行等工作；审核所监管企业向上级争取资金情况，对财政或其他部门划拨到监管企业的资金的使用情况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监管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534B3044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4．负责企业国有资产基础管理，拟订国有资产管理的规范性文件，负责所监管企业国有资产处理管理，负责规范和发展国有企业产权交易市场，并进行监督管理；负责参控股企业国有股权的管理。 </w:t>
      </w:r>
    </w:p>
    <w:p w14:paraId="7AE2085F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．指导推进国有企业改革和重组，推进国有企业的现代企业制度建设，完善公司治理结构，推动国有经济布局和结构的战略性调整；指导所监管企业引进战略投资者与产权(股权)招商引资与资本合作，加强与中央企业、省属企业的对接合作，负责归口组织协调全市与中央企业、省属企业对接合作工作。 </w:t>
      </w:r>
    </w:p>
    <w:p w14:paraId="2C7560CD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6．通过法定程序对所监管企业的负责人进行任免、考核并根据其经营业绩进行奖惩，建立符合社会主义市场经济体制和现代企业制度要求的选人、用人机制，完善经营者激励和约束制度。 </w:t>
      </w:r>
    </w:p>
    <w:p w14:paraId="5308F63C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7．指导、监督全市国有企业法律顾问管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31D57EEE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8．承办市委、市人民政府交办的其他事项。 </w:t>
      </w:r>
    </w:p>
    <w:p w14:paraId="095474F7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（二）机构设置</w:t>
      </w:r>
    </w:p>
    <w:p w14:paraId="174FE9BF">
      <w:pPr>
        <w:keepNext w:val="0"/>
        <w:keepLines w:val="0"/>
        <w:widowControl/>
        <w:suppressLineNumbers w:val="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有科室有综合法规科、企业改革与科技创新科、监督科、组织人事科（企业领导人员管理科）、考核分配科、资本收益与财务管理科、产权管理科、社会责任科、党建工作科（党委统战部）、宣传与对外合作科、办公室共计 11 个，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编制人数40人，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在职人员 42人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（含派驻纪检监察组7人）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，退休人员 11 人。</w:t>
      </w:r>
    </w:p>
    <w:p w14:paraId="45A3A043">
      <w:pPr>
        <w:pStyle w:val="21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24CD54D0">
      <w:pPr>
        <w:pStyle w:val="21"/>
        <w:widowControl/>
        <w:ind w:firstLine="643"/>
        <w:rPr>
          <w:rFonts w:hint="default" w:eastAsia="Times New Roman"/>
          <w:b/>
          <w:sz w:val="32"/>
          <w:szCs w:val="24"/>
          <w:lang w:val="en-US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789A7943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2022年收入实际完成1367.36万元，比上年增加300.91万元，增长28.21%。主要原因是：本年度公务员津补贴改革，将应由下年度支付的绩效奖计入了本年度；新增房屋租金、后勤管理费用支出。其中：一般公共预算财政拨款收入完成1365.33万元，上年结余2.02万元。2022年，本部门支出1367.36万元，比上年增加300.91万元，增加28.21%；</w:t>
      </w:r>
      <w:r>
        <w:rPr>
          <w:rFonts w:hint="eastAsia" w:ascii="华文仿宋" w:hAnsi="华文仿宋" w:eastAsia="华文仿宋"/>
          <w:sz w:val="32"/>
          <w:szCs w:val="24"/>
          <w:lang w:val="zh-CN" w:eastAsia="zh-CN"/>
        </w:rPr>
        <w:t>变化的主要原因</w:t>
      </w: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：本年度公务员津补贴改革，将应由下年度支付的绩效奖计入了本年度；新增房屋租金、后勤管理费用支出。其中：2022年度财政拨款基本支出976.80万元，其中：人员经费869.43万元，占基本支出的89%，主要包括：基本工资、津贴补贴、奖金、机关事业单位基本养老保险缴费、职业年金缴费、职工基本医疗保险缴费、公务员医疗补助缴费、其他社会保障缴费、住房公积金、其他工资福利支出、奖励金、其他对个人和家庭的补助；公用经费107.37万元，占基本支出的11%，主要包括：办公费、印刷费、邮电费、维修（护）费、工会经费、公务用车运行维护费、其他交通费用、税金及附加费用。</w:t>
      </w:r>
    </w:p>
    <w:p w14:paraId="610B5C71">
      <w:pPr>
        <w:spacing w:beforeLines="0" w:afterLines="0" w:line="520" w:lineRule="exact"/>
        <w:ind w:firstLine="640" w:firstLineChars="200"/>
        <w:rPr>
          <w:rFonts w:eastAsia="楷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24"/>
          <w:lang w:val="en-US"/>
        </w:rPr>
        <w:t>年，本单位年末结转和结余资金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减少2.02万</w:t>
      </w:r>
      <w:r>
        <w:rPr>
          <w:rFonts w:hint="eastAsia" w:ascii="仿宋" w:hAnsi="仿宋" w:eastAsia="仿宋"/>
          <w:sz w:val="32"/>
          <w:szCs w:val="24"/>
          <w:lang w:val="en-US"/>
        </w:rPr>
        <w:t>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减少100</w:t>
      </w:r>
      <w:r>
        <w:rPr>
          <w:rFonts w:hint="eastAsia" w:ascii="仿宋" w:hAnsi="仿宋" w:eastAsia="仿宋"/>
          <w:sz w:val="28"/>
          <w:szCs w:val="24"/>
          <w:lang w:val="en-US"/>
        </w:rPr>
        <w:t>%，增减变化的主要原因是：本年度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剩余资金全部收回。</w:t>
      </w:r>
    </w:p>
    <w:p w14:paraId="0263D6BB">
      <w:pPr>
        <w:pStyle w:val="21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4EC3E436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eastAsia="楷体"/>
          <w:b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项目支出390.56万元，比上年增长242.65万元，增长164%；</w:t>
      </w:r>
      <w:r>
        <w:rPr>
          <w:rFonts w:hint="eastAsia" w:ascii="华文仿宋" w:hAnsi="华文仿宋" w:eastAsia="华文仿宋"/>
          <w:sz w:val="32"/>
          <w:szCs w:val="24"/>
          <w:lang w:val="zh-CN" w:eastAsia="zh-CN"/>
        </w:rPr>
        <w:t>变化的主要原因：</w:t>
      </w: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本年度新增房屋租金、物业管理、水电费、食堂就餐费支出；新增社保及工伤保险支出；新增对企业补助63万元。其中：派驻派出机构支出24.84万元；国有资产监管支出85.5万元；维稳和国企改革项目支出22.5万元。</w:t>
      </w:r>
    </w:p>
    <w:p w14:paraId="19469E1B">
      <w:pPr>
        <w:pStyle w:val="21"/>
        <w:widowControl/>
        <w:numPr>
          <w:ilvl w:val="0"/>
          <w:numId w:val="0"/>
        </w:numPr>
        <w:ind w:leftChars="200"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三、</w:t>
      </w:r>
      <w:r>
        <w:rPr>
          <w:rFonts w:eastAsia="黑体"/>
          <w:sz w:val="32"/>
          <w:szCs w:val="32"/>
        </w:rPr>
        <w:t>政府性基金预算支出情况</w:t>
      </w:r>
    </w:p>
    <w:p w14:paraId="6593281C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本单位无政府性基金收支。</w:t>
      </w:r>
    </w:p>
    <w:p w14:paraId="058BFE1C">
      <w:pPr>
        <w:pStyle w:val="2"/>
      </w:pPr>
    </w:p>
    <w:p w14:paraId="6B84D2A5">
      <w:pPr>
        <w:pStyle w:val="21"/>
        <w:widowControl/>
        <w:numPr>
          <w:ilvl w:val="0"/>
          <w:numId w:val="0"/>
        </w:numPr>
        <w:ind w:leftChars="200"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eastAsia="黑体"/>
          <w:sz w:val="32"/>
          <w:szCs w:val="32"/>
        </w:rPr>
        <w:t>国有资本经营预算支出情况</w:t>
      </w:r>
    </w:p>
    <w:p w14:paraId="0C5D1F18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本单位无国有资本经营收支。</w:t>
      </w:r>
    </w:p>
    <w:p w14:paraId="5C5C3C9E">
      <w:pPr>
        <w:pStyle w:val="21"/>
        <w:widowControl/>
        <w:numPr>
          <w:ilvl w:val="0"/>
          <w:numId w:val="0"/>
        </w:numPr>
        <w:ind w:leftChars="200"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五、</w:t>
      </w:r>
      <w:r>
        <w:rPr>
          <w:rFonts w:eastAsia="黑体"/>
          <w:sz w:val="32"/>
          <w:szCs w:val="32"/>
        </w:rPr>
        <w:t>社会保险基金预算支出情况</w:t>
      </w:r>
    </w:p>
    <w:p w14:paraId="4F8298ED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本单位无社会保险基金收支。</w:t>
      </w:r>
    </w:p>
    <w:p w14:paraId="47229DA8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、部门整体支出绩效情况</w:t>
      </w:r>
    </w:p>
    <w:p w14:paraId="5167A8B9">
      <w:pPr>
        <w:pStyle w:val="21"/>
        <w:widowControl/>
        <w:ind w:firstLine="640"/>
        <w:rPr>
          <w:rFonts w:hint="eastAsia" w:ascii="华文仿宋" w:hAnsi="华文仿宋" w:eastAsia="华文仿宋" w:cs="华文仿宋"/>
          <w:sz w:val="32"/>
          <w:szCs w:val="32"/>
          <w:lang w:val="e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市国资委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党委全面贯彻落实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习近平新时代中国特色社会主义思想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和党的二十大精神，</w:t>
      </w:r>
      <w:r>
        <w:rPr>
          <w:rFonts w:hint="eastAsia" w:ascii="华文仿宋" w:hAnsi="华文仿宋" w:eastAsia="华文仿宋" w:cs="华文仿宋"/>
          <w:sz w:val="32"/>
          <w:szCs w:val="32"/>
        </w:rPr>
        <w:t>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国资系统“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1234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”工程</w:t>
      </w:r>
      <w:r>
        <w:rPr>
          <w:rFonts w:hint="eastAsia" w:ascii="华文仿宋" w:hAnsi="华文仿宋" w:eastAsia="华文仿宋" w:cs="华文仿宋"/>
          <w:sz w:val="32"/>
          <w:szCs w:val="32"/>
        </w:rPr>
        <w:t>为主线，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优布局、调结构、促转型，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市属</w:t>
      </w:r>
      <w:r>
        <w:rPr>
          <w:rFonts w:hint="eastAsia" w:ascii="华文仿宋" w:hAnsi="华文仿宋" w:eastAsia="华文仿宋" w:cs="华文仿宋"/>
          <w:sz w:val="32"/>
          <w:szCs w:val="32"/>
        </w:rPr>
        <w:t>国有经济整体运行稳中有进，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国有企业“主力军”、“排头兵”作用充分发挥。</w:t>
      </w:r>
    </w:p>
    <w:p w14:paraId="55B3FA8D">
      <w:pPr>
        <w:pStyle w:val="10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紧扣“国企出资、国资监管、国企党建”三项职能，不折不扣落实市委、市政府决策部署，以国企改革三年行动、平台公司市场化转型、债务风险防范化解等工作为重点，不断做强做优做大市属国有资本和国有企业。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截至12月底，市属监管企业（不含参股企业）资产总额3112亿元（预计数，下同），同比增长11.3%；负债总额1761亿元，同比增长11.8%；资产负债率56.23%，同比下降0.2个百分点；净资产1350亿元，同比增长10.66%；收入总额131.5亿元，同比增长1.5%；净利润17亿元；上缴税收13亿元。</w:t>
      </w:r>
    </w:p>
    <w:p w14:paraId="77D69E83"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突出党建引领聚合力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坚持“两个一以贯之”不动摇，国有企业党组织“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把方向、管大局、保落实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”作用显著增强。</w:t>
      </w:r>
    </w:p>
    <w:p w14:paraId="1BA7FD4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（二）突出市场导向强动力。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以企业为主体，以市场为导向，调整存量结构、优化增量投向、做大总量盘子，不断提升企业质量效益，推进市属监管企业提质增效。</w:t>
      </w:r>
    </w:p>
    <w:p w14:paraId="44AE9CA7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（三）突出深化改革激活力。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按照“可衡量、可考核、可检验、要办事”的总要求，抓好国企改革三年行动。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我市国企改革三年行动完成率连续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5次排名全省第一，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考核评估排名全省第二，仅次于长沙，获评全省优秀，主要做法获全省专刊推介。</w:t>
      </w:r>
    </w:p>
    <w:p w14:paraId="59AD975C">
      <w:pPr>
        <w:widowControl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（四）突出职能转变提能力。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按照“专业化、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化、法治化”监管要求，构建以投资风险监管、违规经营责任追究、财务风险防控等为重点的国资监管体系。</w:t>
      </w:r>
    </w:p>
    <w:p w14:paraId="4336F9B2">
      <w:pPr>
        <w:pStyle w:val="21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、存在的问题及原因分析</w:t>
      </w:r>
    </w:p>
    <w:p w14:paraId="77F4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一是转型观念滞后。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在市级层面，部分单位存在“本位主义”，对平台公司转型和经营性资产注入的支持力度不大，未能实现平台转型“全市一盘棋”和整体同步推进；在公司层面，领导班子和高管团队多来源于行政机关，行政管理能力较强，但市场意识不足、转型思考不多、开展转型的决心不强，存在一定程度的“等靠要”思想。</w:t>
      </w:r>
    </w:p>
    <w:p w14:paraId="3D6F2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二是债务风险累加。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为贯彻市委市政府战略部署、促进企业长远发展，平台公司承担了片区开发、新能源汽车等一大批重大项目，投资周期长、体量大，短时间难以实现收益，债务“雪球”越滚越大，且现有债务结构中直接融资比例过高，加之近年来一系列从严监管政策，造成整体债务风险越来越高。</w:t>
      </w:r>
    </w:p>
    <w:p w14:paraId="535C1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三是治理结构不优。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平台公司党委会、董事会、经理层人员高度重叠，“两会一层”的职责边界不清，议事规则不明，致使科学决策程度不高、决策效率较低，各治理结构的主体功能未能有效发挥。</w:t>
      </w:r>
    </w:p>
    <w:p w14:paraId="4502D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四是人才矛盾突出。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因历史原因，市级平台公司普遍缺少符合市场化经营需要的投资、法务、管理、融资等专业人才，人才的结构性矛盾突出，经营理念、管理方式与一流企业相比还有差距。</w:t>
      </w:r>
    </w:p>
    <w:p w14:paraId="48793431">
      <w:pPr>
        <w:widowControl/>
        <w:numPr>
          <w:ilvl w:val="0"/>
          <w:numId w:val="2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6BCC52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（一）以调整优化为抓手，实施布局调整。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通过优化国有资本布局，进一步明确市属监管企业，特别是平台公司的主业主责，厘清公司构架，划分专业经营板块，满足市场需要。</w:t>
      </w:r>
    </w:p>
    <w:p w14:paraId="7C26D1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（二）以增强实力为重心，推进平台转型。一是注入资产资源，增加资产规模。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开展平台公司经营性资产三年倍增行动，深入推进实施行政事业单位经营性资产资源注入工作，对适合平台公司市场化运作的新增资产资源资金，通过“一事一议”方式报请市政府同意后注入平台公司，进一步做大平台公司资产规模。</w:t>
      </w:r>
    </w:p>
    <w:p w14:paraId="150454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（三）以强化队伍为重点，提升经营能力。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牢固树立人才是“第一资源”的观念，优化国资国企人才队伍结构，提升人员队伍素质，增强国有资本运营能力。</w:t>
      </w:r>
    </w:p>
    <w:p w14:paraId="451A1E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（四）以管好资本为主导，建立市场机制。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一是实施分类监管。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对市属监管企业的功能类和竞争类子公司实施分类监管，其中，功能类子公司主要是依法合规承担政府性工程投资建设，竞争类子公司系有清晰的主业主责和稳定市场收益的公司，主要负责市场化项目的投资和经营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二是实施过程监督。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严格贯彻落实《选人用人管理办法》，明确以集团公司和功能类子公司现有人员数量为限额，不再增加人员总数，明确选人用人需全过程纪实，接受外界监督。同时，赋予平台公司选人用人自主权，平台公司选人用人只需事前方案报批，事后结果备案，其他事项均由公司自主负责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三是实施重大事项报告制度。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制定市属监管企业“三重一大”事项报告制度和报告清单，明确报告事项的内容、层级、程序和时限，做到清单内事项应报尽报，加大对违规经营责任追究力度。</w:t>
      </w:r>
    </w:p>
    <w:p w14:paraId="7C3A03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（五）以强化监管为保障，推进清廉建设。</w:t>
      </w:r>
      <w:r>
        <w:rPr>
          <w:rFonts w:hint="eastAsia" w:ascii="华文仿宋" w:hAnsi="华文仿宋" w:eastAsia="华文仿宋" w:cs="华文仿宋"/>
          <w:b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-SA"/>
        </w:rPr>
        <w:t>聚焦近年来巡视巡察、审计监督、专项整治等发现的问题，组织开展以“全面清底、全面整改、全面规范”为主题的“回头看”活动，进一步改进工作作风，保障推动国资国企高质量发展。</w:t>
      </w:r>
      <w:r>
        <w:rPr>
          <w:rFonts w:hint="eastAsia" w:ascii="华文仿宋" w:hAnsi="华文仿宋" w:eastAsia="华文仿宋" w:cs="华文仿宋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华文仿宋" w:hAnsi="华文仿宋" w:eastAsia="华文仿宋" w:cs="华文仿宋"/>
          <w:bCs/>
          <w:kern w:val="2"/>
          <w:sz w:val="32"/>
          <w:szCs w:val="32"/>
          <w:lang w:val="en-US" w:eastAsia="zh-CN" w:bidi="ar-SA"/>
        </w:rPr>
        <w:t>坚持以管资本为主加强国有资产监管,瞄准企业资本布局、关键业务、改革重点领域、运营重要环节,加强事前事中事后监管,形成监管闭环。</w:t>
      </w:r>
      <w:r>
        <w:rPr>
          <w:rFonts w:hint="eastAsia" w:ascii="华文仿宋" w:hAnsi="华文仿宋" w:eastAsia="华文仿宋" w:cs="华文仿宋"/>
          <w:b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华文仿宋" w:hAnsi="华文仿宋" w:eastAsia="华文仿宋" w:cs="华文仿宋"/>
          <w:bCs/>
          <w:kern w:val="2"/>
          <w:sz w:val="32"/>
          <w:szCs w:val="32"/>
          <w:lang w:val="en-US" w:eastAsia="zh-CN" w:bidi="ar-SA"/>
        </w:rPr>
        <w:t>强化追责问责,严格执行违规经营投资损失责任追究办法,加强对企业“一把手”和领导班子的监督，在全市国资系统营造风清气正的良好政治生态。</w:t>
      </w:r>
    </w:p>
    <w:p w14:paraId="3686FCCE">
      <w:pPr>
        <w:pStyle w:val="4"/>
        <w:numPr>
          <w:ilvl w:val="0"/>
          <w:numId w:val="0"/>
        </w:numPr>
      </w:pPr>
    </w:p>
    <w:p w14:paraId="583DFD94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九</w:t>
      </w:r>
      <w:r>
        <w:rPr>
          <w:rFonts w:ascii="Times New Roman" w:hAnsi="Times New Roman" w:eastAsia="黑体"/>
          <w:sz w:val="32"/>
          <w:szCs w:val="32"/>
        </w:rPr>
        <w:t>、其他需要说明的情况</w:t>
      </w:r>
    </w:p>
    <w:p w14:paraId="5F9EB336">
      <w:pPr>
        <w:widowControl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无。</w:t>
      </w:r>
    </w:p>
    <w:p w14:paraId="549AAFF5">
      <w:pPr>
        <w:pStyle w:val="2"/>
        <w:ind w:left="0" w:leftChars="0" w:firstLine="0" w:firstLineChars="0"/>
        <w:rPr>
          <w:rFonts w:hint="eastAsia" w:ascii="Times New Roman" w:hAnsi="Times New Roman"/>
          <w:sz w:val="32"/>
          <w:szCs w:val="32"/>
          <w:lang w:eastAsia="zh-CN"/>
        </w:rPr>
      </w:pPr>
    </w:p>
    <w:p w14:paraId="2061903F">
      <w:pPr>
        <w:ind w:right="640"/>
        <w:rPr>
          <w:rFonts w:hint="eastAsia" w:ascii="Times New Roman" w:hAnsi="Times New Roman" w:eastAsia="仿宋_GB2312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2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6"/>
          <w:szCs w:val="36"/>
          <w:lang w:val="en-US" w:eastAsia="zh-CN"/>
        </w:rPr>
        <w:t xml:space="preserve"> </w:t>
      </w:r>
    </w:p>
    <w:p w14:paraId="23C06FD3">
      <w:pPr>
        <w:ind w:left="359" w:leftChars="171" w:right="640" w:firstLine="1440" w:firstLineChars="4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部门整体支出绩效评价基础数据表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 w14:paraId="74B703FD">
      <w:pPr>
        <w:ind w:right="640"/>
        <w:jc w:val="both"/>
        <w:rPr>
          <w:rFonts w:ascii="Times New Roman" w:hAnsi="Times New Roman" w:eastAsia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填报单位：</w:t>
      </w:r>
      <w:r>
        <w:rPr>
          <w:rFonts w:hint="eastAsia" w:ascii="Times New Roman" w:hAnsi="Times New Roman"/>
          <w:color w:val="000000"/>
          <w:kern w:val="0"/>
          <w:sz w:val="22"/>
          <w:lang w:eastAsia="zh-CN"/>
        </w:rPr>
        <w:t>衡阳市人民政府国有资产监督管理委员会</w:t>
      </w:r>
      <w:r>
        <w:rPr>
          <w:rFonts w:hint="eastAsia" w:ascii="Times New Roman" w:hAnsi="Times New Roman"/>
          <w:kern w:val="0"/>
          <w:sz w:val="24"/>
          <w:lang w:eastAsia="zh-CN"/>
        </w:rPr>
        <w:t>（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盖章</w:t>
      </w:r>
      <w:r>
        <w:rPr>
          <w:rFonts w:hint="eastAsia" w:ascii="Times New Roman" w:hAnsi="Times New Roman"/>
          <w:kern w:val="0"/>
          <w:sz w:val="24"/>
          <w:lang w:eastAsia="zh-CN"/>
        </w:rPr>
        <w:t>）</w:t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</w:p>
    <w:tbl>
      <w:tblPr>
        <w:tblStyle w:val="12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038"/>
        <w:gridCol w:w="2240"/>
        <w:gridCol w:w="1832"/>
      </w:tblGrid>
      <w:tr w14:paraId="5C7CE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CC2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32AF3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F262F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46122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 w14:paraId="417C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4D5F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07B5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48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8CA0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42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C578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100%</w:t>
            </w:r>
          </w:p>
        </w:tc>
      </w:tr>
      <w:tr w14:paraId="25E2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8763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A58233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2B5931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DC9CDB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14:paraId="2DCC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250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E6B192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918.54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6ABEF1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976.80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409675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976.80</w:t>
            </w:r>
          </w:p>
        </w:tc>
      </w:tr>
      <w:tr w14:paraId="7A839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5B5D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44F36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812.31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3E9D0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869.43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1CE04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869.43</w:t>
            </w:r>
          </w:p>
        </w:tc>
      </w:tr>
      <w:tr w14:paraId="2C12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3A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7CBBC2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106.23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E8E1FB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107.37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2ED421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107.37</w:t>
            </w:r>
          </w:p>
        </w:tc>
      </w:tr>
      <w:tr w14:paraId="45EE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1E8B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36D1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68BEFD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4E69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43F9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9091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CC013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22D94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62D2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0682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8159">
            <w:pPr>
              <w:widowControl/>
              <w:ind w:firstLine="1155" w:firstLineChars="5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05C42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5A73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74963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6516C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D371">
            <w:pPr>
              <w:widowControl/>
              <w:ind w:firstLine="945" w:firstLineChars="4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52A1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0DA8F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2D166D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44CB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071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250643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3.99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BD360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696F7A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3.27</w:t>
            </w:r>
          </w:p>
        </w:tc>
      </w:tr>
      <w:tr w14:paraId="2117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97BB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其中：公交车购置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632359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272099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530541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6CE0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7B10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公交车运行维护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747D79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3.99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6BA582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E0365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3.27</w:t>
            </w:r>
          </w:p>
        </w:tc>
      </w:tr>
      <w:tr w14:paraId="0EA5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DB27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EF65C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18A03D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4F5137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40461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3FB2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27477C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0.74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49EDD9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37ED0E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0.14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48129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EA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12D9DE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147.91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71583E"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390.56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DAC2C7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390.56</w:t>
            </w:r>
          </w:p>
        </w:tc>
      </w:tr>
      <w:tr w14:paraId="0E74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9AD4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1、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国企改革工作经费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CE024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1607B5">
            <w:pPr>
              <w:widowControl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483F61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13.5</w:t>
            </w:r>
          </w:p>
        </w:tc>
      </w:tr>
      <w:tr w14:paraId="722A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4F7B">
            <w:pPr>
              <w:widowControl/>
              <w:ind w:firstLine="210" w:firstLineChars="10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驻市国资委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纪检监察组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专项经费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10C637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27.6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DB47C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5EE594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24.84</w:t>
            </w:r>
          </w:p>
        </w:tc>
      </w:tr>
      <w:tr w14:paraId="3031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627C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维稳专项工作经费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A9BB6A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43B3E4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E4159E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</w:t>
            </w:r>
          </w:p>
        </w:tc>
      </w:tr>
      <w:tr w14:paraId="1C71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228D">
            <w:pPr>
              <w:widowControl/>
              <w:jc w:val="both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国有资产监管经费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1D319A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95.31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406CF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85.5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CCF554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85.5</w:t>
            </w:r>
          </w:p>
        </w:tc>
      </w:tr>
      <w:tr w14:paraId="38EB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3EB3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B61A8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22705F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07E4D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1C17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E31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F2739F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严格控制三公经费开支，杜绝铺张浪费。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 w14:paraId="0FD668B0">
      <w:pPr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说明：“项目支出”需要填报基本支出以外的所有项目支出情况，包括业务工作项目、运行维护项目和市级专项资金等；“公用经费”填报基本支出中的一般商品和服务支出。</w:t>
      </w:r>
    </w:p>
    <w:p w14:paraId="74E1E5B7">
      <w:pPr>
        <w:rPr>
          <w:rFonts w:ascii="Times New Roman" w:hAnsi="Times New Roman"/>
          <w:kern w:val="0"/>
          <w:sz w:val="22"/>
        </w:rPr>
      </w:pPr>
    </w:p>
    <w:p w14:paraId="3E379EFA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填表人</w:t>
      </w:r>
      <w:r>
        <w:rPr>
          <w:rFonts w:hint="eastAsia" w:ascii="Times New Roman" w:hAnsi="Times New Roman" w:eastAsia="仿宋_GB2312"/>
          <w:sz w:val="24"/>
          <w:lang w:eastAsia="zh-CN"/>
        </w:rPr>
        <w:t>：周小凤</w:t>
      </w:r>
      <w:r>
        <w:rPr>
          <w:rFonts w:ascii="Times New Roman" w:hAnsi="Times New Roman" w:eastAsia="仿宋_GB2312"/>
          <w:sz w:val="24"/>
        </w:rPr>
        <w:t>填报日期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2023.3.22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15973400202</w:t>
      </w:r>
      <w:r>
        <w:rPr>
          <w:rFonts w:ascii="Times New Roman" w:hAnsi="Times New Roman" w:eastAsia="仿宋_GB2312"/>
          <w:sz w:val="24"/>
        </w:rPr>
        <w:t xml:space="preserve"> 单位负责人签字：</w:t>
      </w:r>
    </w:p>
    <w:p w14:paraId="0B4137EE">
      <w:pPr>
        <w:rPr>
          <w:rFonts w:ascii="Times New Roman" w:hAnsi="Times New Roman"/>
          <w:kern w:val="0"/>
          <w:sz w:val="22"/>
        </w:rPr>
      </w:pPr>
    </w:p>
    <w:p w14:paraId="7779226D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tbl>
      <w:tblPr>
        <w:tblStyle w:val="12"/>
        <w:tblW w:w="9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20"/>
        <w:gridCol w:w="1110"/>
        <w:gridCol w:w="1125"/>
        <w:gridCol w:w="1110"/>
        <w:gridCol w:w="255"/>
        <w:gridCol w:w="810"/>
        <w:gridCol w:w="210"/>
        <w:gridCol w:w="960"/>
        <w:gridCol w:w="765"/>
        <w:gridCol w:w="300"/>
        <w:gridCol w:w="971"/>
      </w:tblGrid>
      <w:tr w14:paraId="7FF1E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99D9">
            <w:pPr>
              <w:ind w:firstLine="2880" w:firstLineChars="800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 w14:paraId="60150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6AE0BF">
            <w:pPr>
              <w:widowControl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填报单位：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衡阳市人民政府国有资产监督管理委员会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 xml:space="preserve">                 （2022年度）</w:t>
            </w:r>
          </w:p>
        </w:tc>
      </w:tr>
      <w:tr w14:paraId="62E5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6CE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1A4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衡阳市人民政府国有资产监督管理委员会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A4B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执行数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A46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EF2D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分值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FBE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得分</w:t>
            </w:r>
          </w:p>
        </w:tc>
      </w:tr>
      <w:tr w14:paraId="0AF3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0618D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年度预算</w:t>
            </w:r>
          </w:p>
          <w:p w14:paraId="3E747E0F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申请（万元）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7110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资金总额：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1367.36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万元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151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1367.36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F45B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734D">
            <w:pPr>
              <w:widowControl/>
              <w:ind w:firstLine="420" w:firstLineChars="2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409C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2FA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530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B8B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按收入性质分：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C11F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按支出性质分：</w:t>
            </w:r>
          </w:p>
        </w:tc>
      </w:tr>
      <w:tr w14:paraId="57A0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9DE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38F2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 一般公共预算收入：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1367.36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万元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3B9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其中：基本支出：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976.80</w:t>
            </w:r>
          </w:p>
        </w:tc>
      </w:tr>
      <w:tr w14:paraId="7D289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54B1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1CE">
            <w:pPr>
              <w:widowControl/>
              <w:ind w:firstLine="840" w:firstLineChars="400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2DBE">
            <w:pPr>
              <w:widowControl/>
              <w:ind w:firstLine="840" w:firstLineChars="4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项目支出：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390.56</w:t>
            </w:r>
          </w:p>
        </w:tc>
      </w:tr>
      <w:tr w14:paraId="301B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D50E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5B15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8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6647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6B61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9D0">
            <w:pPr>
              <w:widowControl/>
              <w:ind w:firstLine="1680" w:firstLineChars="80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0787">
            <w:pPr>
              <w:widowControl/>
              <w:ind w:firstLine="1680" w:firstLineChars="8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672BB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78C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57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市国资委根据市政府授权，依照《国资法》、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《中华人民共和国公司法》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法律法规代表市政府对监管企业履行出资人职责；承担指导推进国有企业改革和重组；对所监管企业国有资产的保值增值进行监督，加强国有资产的管理工作；推进国有企业的现代企业制度建设，完善公司治理结构；推动国有经济结构和布局的战略性调整等工作。</w:t>
            </w:r>
          </w:p>
        </w:tc>
      </w:tr>
      <w:tr w14:paraId="2719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33F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整体绩效</w:t>
            </w:r>
          </w:p>
          <w:p w14:paraId="49C558A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E98CE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确保衡阳国资国企走在全省前列，有特色、有成效地发挥示范引领作用。</w:t>
            </w:r>
          </w:p>
        </w:tc>
      </w:tr>
      <w:tr w14:paraId="302C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31F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部门整体支出年度绩效指标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997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0C7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7959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27B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6EDD479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07BE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16081F6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D3D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A33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CF8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0AC1FD4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3B896A4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5721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CFE9E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263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7FDEFD0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734525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4AD4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E95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经营业绩考核工作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5A51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2022年全面完成国企改革三年行动方案任务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FFC8F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19A3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FB96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234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377C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B0130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9DA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EE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903D7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  <w:t>国企维稳工作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37DDF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  <w:t>做好企业留守处工作，确保留守人员稳定，化解上访难题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7E43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BEE2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D64F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D28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BB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F00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179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FAC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968B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  <w:t>国资监管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8902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  <w:t>转变管理模式以管资本为主的模式，细化国企考核指标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F57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09F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FC126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0BA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8CE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1FC99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25B5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07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767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  <w:t>纪检工作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8C6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5"/>
                <w:szCs w:val="15"/>
                <w:lang w:eastAsia="zh-CN"/>
              </w:rPr>
              <w:t>强化党建引领作用，加大廉政建设宣传力度与廉政教育力度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656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02910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39B0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323E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E42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A6A9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FEC5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A84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99D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进一步提升国资监管效能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A10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坚持以管资本为主，重点管好国有资本布局、规范资本运作提高资本回报、维护资本安全，突出问题导向，把住核心关口，改进监督方式，确保全市国有资产保值增值。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71E18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衡阳国资国企工作走在全省前列，有特色、有成效，发挥了示范引领作用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B40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A99C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58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199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393B9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8431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B97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E41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AD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437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02CE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152E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930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984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8DD0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9D1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881D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9777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执行时限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1809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2022年12月底前完成。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34D8">
            <w:pPr>
              <w:widowControl/>
              <w:jc w:val="left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A06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58D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3C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2720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435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62C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036C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91D8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3978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1991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296D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38A5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A17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3FA2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E4A1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BD0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0D5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AC76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成本控制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4DB9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全年基本支出（包括人员经费、日常公用经费）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，项目支出（包括四个项目）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ED377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　基本控制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1ABC9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126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144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 w14:paraId="768DD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1954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D36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047D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984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DE8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6D9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CD1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36DC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EEE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6968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767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B9C1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1A8E61A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17A8E3B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分）</w:t>
            </w:r>
          </w:p>
          <w:p w14:paraId="5973499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2F7D925D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95D8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55A1EDC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0640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保障国有资产保值增值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CBE6B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有效保障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D30A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609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0F0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2F5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A5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D5D3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A2CA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8FB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8E22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加大供给侧结构性改革力度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38753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加大供给侧结构性改革力度，扶优做强支柱企业和骨干企业，淘汰落后产能，关闭“僵尸”企业。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8A72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EFB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B9A0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E7AE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5D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F24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EB1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963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291017B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36B94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大力推进政企分开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0BE8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加快推进市属机关事业单位与所属企业脱钩工作。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57C4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完善制度体系，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出台了《衡阳市市属国有出资企业章程管理办法》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DA76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48A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19E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871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653E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B49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3D24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8142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积极开展混合所有制改革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6284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通过项目的实施，积极开展混合所有制改革，对有条件的混合所有制公司开展员工持股试点工作。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B1B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南岳电控公司实现市属一级企业集团层面混改破冰、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员工持股工作，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南岳电控公司员工790人受让中信（绵阳）持有的14.4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%股权，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13B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7A305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95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35E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A485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89F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BBA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64D6D0A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B4D9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加强国企生态环境保护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0712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督促监管企业强化生态环境保护、污染治理的各项措施，将生态环境保护工作纳入企业负责人经营业绩考核，严格奖惩。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E862D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生态环境保护工作已纳入企业负责人经营业绩考核，各企业严格执行生态环境保护责任制。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E52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78F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530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D4F5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176B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A5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39CD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A923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80D26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96E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D2D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A5F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6B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260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3A0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B81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C9DB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5098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可持续发展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80AE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体现政策导向，保障国资委各项工作平稳进行、可持续发展。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390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建立资金动态监测体系，加强融资事项监管，保障国资监管平衡可持续发展。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F0EA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612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4D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602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D39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0E6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B203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969CF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……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39E7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C24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6DA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254A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E9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580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35D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009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F79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4264E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满意度指标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1608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通过各个项目的实施，力争使监管企业满意度达到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95%及以上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4632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监管企业满意度调查达到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95%以上。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04F2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CA5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367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F23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72E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C92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750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7391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……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378D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039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0CEB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F68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BB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DEA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9FD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 总分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6F84"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E006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706C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 w14:paraId="75E21E0D">
      <w:pPr>
        <w:spacing w:beforeLines="5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填表人</w:t>
      </w:r>
      <w:r>
        <w:rPr>
          <w:rFonts w:hint="eastAsia" w:ascii="Times New Roman" w:hAnsi="Times New Roman" w:eastAsia="仿宋_GB2312"/>
          <w:sz w:val="24"/>
          <w:lang w:val="en-US" w:eastAsia="zh-CN"/>
        </w:rPr>
        <w:t>;</w:t>
      </w:r>
      <w:r>
        <w:rPr>
          <w:rFonts w:hint="eastAsia" w:ascii="Times New Roman" w:hAnsi="Times New Roman" w:eastAsia="仿宋_GB2312"/>
          <w:sz w:val="24"/>
          <w:lang w:eastAsia="zh-CN"/>
        </w:rPr>
        <w:t>周小凤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2023.3.22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15973400202</w:t>
      </w:r>
      <w:r>
        <w:rPr>
          <w:rFonts w:ascii="Times New Roman" w:hAnsi="Times New Roman" w:eastAsia="仿宋_GB2312"/>
          <w:sz w:val="24"/>
        </w:rPr>
        <w:t xml:space="preserve"> 单位负责人签字：</w:t>
      </w:r>
    </w:p>
    <w:p w14:paraId="5FDE0182">
      <w:pPr>
        <w:rPr>
          <w:rFonts w:ascii="Times New Roman" w:hAnsi="Times New Roman" w:eastAsia="黑体"/>
          <w:sz w:val="32"/>
          <w:szCs w:val="32"/>
        </w:rPr>
      </w:pPr>
    </w:p>
    <w:p w14:paraId="5A7ED783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4DDD4899">
      <w:pPr>
        <w:pStyle w:val="2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</w:p>
    <w:p w14:paraId="63D633AC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1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44E7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304D"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2939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CC5D4E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衡阳市人民政府国有资产监督管理委员会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4901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70D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7DB1B13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8E0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国有资产监管经费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B83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323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F6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D0D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6F6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029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72BF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37C4256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88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D336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60DBD494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A99F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7309620A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F4A6E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 w14:paraId="23F41C3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A626D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7388086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AA873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7AB9D12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675A3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919768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 w14:paraId="2B90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623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ACF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CE8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85.5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30C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85.5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57FA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E1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95C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A5D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3CAD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00C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4B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727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D396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85.5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0A5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67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D4D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E30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AF9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0B9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D4A8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351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C8CF2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BF7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4B4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0DE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F6E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5A5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A18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AC391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7E4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9EEB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F699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671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4353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795B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C0B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1B1A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5F69044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D72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1677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7DC2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370A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F13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通过项目的实施，依法合规履行出资人职权，有效落实国有资产保值增值责任，提升国资监管水平，引导企业实现效益更高、质量更好、结构更优的发展，不断做强做优做大国有资本。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715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有效落实了国有资产保值增值责任，提升了国资监管水平，引导企业实现效益更高、质量更好、结构更优的发展，不断做强做优做大国有资本。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</w:tr>
      <w:tr w14:paraId="3576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6961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19CDA5C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5EAAA89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590F111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DBD2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E14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9C5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F51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5D7FF5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264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2C0A459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9589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300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DFD6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4C37ECB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16D52A3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2933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75DC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447D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302B25C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8D9539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37ECE2A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E7D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05CA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监管企业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2022年度</w:t>
            </w: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经营业绩考核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90B8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完成11家监管企业2022年度经营业绩考核工作。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1841">
            <w:pPr>
              <w:widowControl/>
              <w:spacing w:line="280" w:lineRule="exact"/>
              <w:jc w:val="center"/>
              <w:rPr>
                <w:rFonts w:hint="default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A95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14D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AEFB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EAB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E00B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BFE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96A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5D43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监管企业2022年度工资总额预算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63D8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完成11家监管企业2022年度工资总额预算管理工作。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EC5EB">
            <w:pPr>
              <w:widowControl/>
              <w:spacing w:line="280" w:lineRule="exact"/>
              <w:jc w:val="center"/>
              <w:rPr>
                <w:rFonts w:hint="default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9E61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43D6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ED5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73D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9A0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3FC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C9A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F633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上缴国有资本收益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6AA4C">
            <w:pPr>
              <w:widowControl/>
              <w:spacing w:line="280" w:lineRule="exact"/>
              <w:jc w:val="center"/>
              <w:rPr>
                <w:rFonts w:hint="default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组织监管企业按时上缴国有资本收益，未按时上缴的企业数量不超过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3家。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186AC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全部按时上缴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FA7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57FF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037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567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86F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5A1B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9D2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3A8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A8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ADD3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C16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904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A35B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C09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6D7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E29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39DC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1B67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完成时限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B2C3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2022年12月底前完成。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B0FC7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已完成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FCA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B3BC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E51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CB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DCC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D07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95A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C399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D3B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6C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37F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1F6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D62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3BE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6291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126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73D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E0DE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成本控制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BEC7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国有资产监管经费共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85.5万元，包括产权管理、考核分配、资本收益与财务管理等相关业务开支。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64B8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达标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CA5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C66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FE3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DB2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6B2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ED10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1C7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FFE4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A8E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2277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3E6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33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0F1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6A1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651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616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3D9EAE6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6CB8293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31DDAE5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5C35ED3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7806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367624C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E7F1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促进国企经济有序发展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C6B28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通过各项任务的实施，促进国企经济有序发展。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85381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国企经济有序发展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CAB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6AF1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963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2B3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5C29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5F25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E70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93A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31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B1331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CD7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3865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D7F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C3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BFE3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3381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48D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653D330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3B4D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引导国企注重社会效益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14A8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通过对监管企业实施分类考核，鼓励企业积极承担社会责任。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3B0C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国企积极承担社会责任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CD64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09A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EAA3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D56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346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4783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69D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2C3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FA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9A6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1B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D43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233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832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302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0ED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FAA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1328581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5448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加强国企生态环境保护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9F1A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督促监管企业强化生态环境保护、污染治理的各项措施，将生态环境保护工作纳入企业经营业绩考核，严格奖惩。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00AD5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监管企业严控生态环境保护工作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5CC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CCD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D35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D47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F223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BBD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F05C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CBA2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2258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BF5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A88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C6B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1FC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A3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1EFA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2B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FC4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67F5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可持续发展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E752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体现政策导向，保障国资委各项工作平稳进行、可持续发展。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EC4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各项工作平稳进行、可持续发展。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B61B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B132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8229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35E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879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1BB4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8DB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701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6DB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4A8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7581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DD2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05FD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48E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99A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04B9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00BDD63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2B0068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FE2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064E">
            <w:pPr>
              <w:widowControl/>
              <w:spacing w:line="280" w:lineRule="exact"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国有企业满意度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0FEA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通过各个项目的实施，力争使监管企业对项目实施的满意度达到较好水平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120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满意度达到较好水平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7A8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703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1AD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C70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9A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408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6D5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2BD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F6C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AEF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E8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7E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3047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7CD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8E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F559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775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06A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E6E7D02">
      <w:pPr>
        <w:spacing w:beforeLines="50"/>
        <w:rPr>
          <w:rFonts w:ascii="Times New Roman" w:hAnsi="Times New Roman" w:eastAsia="仿宋_GB2312"/>
          <w:sz w:val="24"/>
        </w:rPr>
      </w:pPr>
    </w:p>
    <w:p w14:paraId="129EB820">
      <w:pPr>
        <w:spacing w:beforeLines="50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  <w:lang w:eastAsia="zh-CN"/>
        </w:rPr>
        <w:t>周小凤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2023.3.22</w:t>
      </w:r>
      <w:r>
        <w:rPr>
          <w:rFonts w:ascii="Times New Roman" w:hAnsi="Times New Roman" w:eastAsia="仿宋_GB2312"/>
          <w:sz w:val="24"/>
        </w:rPr>
        <w:t xml:space="preserve"> 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15973400202</w:t>
      </w:r>
      <w:r>
        <w:rPr>
          <w:rFonts w:ascii="Times New Roman" w:hAnsi="Times New Roman" w:eastAsia="仿宋_GB2312"/>
          <w:sz w:val="24"/>
        </w:rPr>
        <w:t>单位负责人签字：</w:t>
      </w:r>
    </w:p>
    <w:p w14:paraId="30A3BDE6">
      <w:pPr>
        <w:rPr>
          <w:rFonts w:ascii="Times New Roman" w:hAnsi="Times New Roman" w:eastAsia="黑体"/>
          <w:sz w:val="32"/>
          <w:szCs w:val="32"/>
        </w:rPr>
      </w:pPr>
    </w:p>
    <w:p w14:paraId="10821E0F">
      <w:pPr>
        <w:rPr>
          <w:rFonts w:ascii="Times New Roman" w:hAnsi="Times New Roman" w:eastAsia="黑体"/>
          <w:sz w:val="32"/>
          <w:szCs w:val="32"/>
        </w:rPr>
      </w:pPr>
    </w:p>
    <w:p w14:paraId="3ACA4B32">
      <w:pPr>
        <w:rPr>
          <w:rFonts w:ascii="Times New Roman" w:hAnsi="Times New Roman" w:eastAsia="黑体"/>
          <w:sz w:val="32"/>
          <w:szCs w:val="32"/>
        </w:rPr>
      </w:pPr>
    </w:p>
    <w:p w14:paraId="225DDCDB">
      <w:pPr>
        <w:rPr>
          <w:rFonts w:ascii="Times New Roman" w:hAnsi="Times New Roman" w:eastAsia="黑体"/>
          <w:sz w:val="32"/>
          <w:szCs w:val="32"/>
        </w:rPr>
      </w:pPr>
    </w:p>
    <w:p w14:paraId="2D506923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1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6C4F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7C56"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2540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4D797D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衡阳市人民政府国有资产监督管理委员会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6E2DC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A997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51C681E2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EF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驻市国资委纪检监察组专项经费</w:t>
            </w:r>
            <w:r>
              <w:rPr>
                <w:rFonts w:hint="eastAsia" w:hAnsi="宋体"/>
                <w:kern w:val="0"/>
                <w:sz w:val="20"/>
                <w:szCs w:val="20"/>
              </w:rPr>
              <w:t>　</w:t>
            </w:r>
          </w:p>
        </w:tc>
      </w:tr>
      <w:tr w14:paraId="6B53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FE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A4B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59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A6E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D1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30476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6B5CFA1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1A4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FA71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0E8D8931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76F4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3B3D42DA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2E867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 w14:paraId="6573C1B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AADAE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26B17EF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BB331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699C59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4F387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42F7455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 w14:paraId="43D2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8F0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F00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C3E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5F3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AA9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F97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8AAC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0A6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171D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F0A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B71D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A9ED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8A3D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215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24.84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F33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10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D35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939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176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F7C9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4F26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A904B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F370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4D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327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B2ED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323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BF2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E0781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746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244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9D95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A01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3CDA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41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95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B73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794B116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34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35D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7A7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3E7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59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强化监督主责、化解信访积案、督促巡察整改，努力推动全面从严治党向纵深发展。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65F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强化监督主责、化解信访积案、督促巡察整改，努力推动全面从严治党向纵深发展。</w:t>
            </w:r>
          </w:p>
        </w:tc>
      </w:tr>
      <w:tr w14:paraId="13E9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B7A0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576DE46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6810322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32FAAEF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79B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356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DB2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2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623842D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D0B0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2281725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5C9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77CD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71DB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45E9FEA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682B04B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F24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D62C5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DE7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396597C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00F0546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29DACFC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0A4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CD34">
            <w:pPr>
              <w:widowControl/>
              <w:jc w:val="center"/>
              <w:rPr>
                <w:rFonts w:hint="default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开展日常监督检查</w:t>
            </w:r>
          </w:p>
          <w:p w14:paraId="47CDA6D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指标2：处置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信访件和</w:t>
            </w: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问题线索数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8D88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较上年度开展监督检查增加5%；受理信访件和问题线索数下降5%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1042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较上年度开展监督检查增加5%；受理信访件和问题线索数下降10%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5F4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9DD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256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71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77A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0F5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595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9AB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7E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108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60C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A51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25F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47F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F02F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A07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6CD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90716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依规依纪依法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F52B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较上年度优化5%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99DA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较上年度优化5%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E1E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442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D79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E46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FAC7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62A11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1F3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AF2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E90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FB5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514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2A5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0BC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EF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FA27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C14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F8D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49F9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按各项任务规定时效完成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4F2A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2022年12月底完成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76AC">
            <w:pPr>
              <w:widowControl/>
              <w:jc w:val="left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已完成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0D4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B0E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422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D3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36367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E0FA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94C3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F19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A47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6D3D">
            <w:pPr>
              <w:widowControl/>
              <w:jc w:val="left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760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00A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5D9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1D51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1E9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4C97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1C1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ABD4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工作开展成本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735B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驻市国资委纪检监察组专项经费为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24.84万元，包括纪检监察组日常办公经费、差旅费、办案费用等。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FC79">
            <w:pPr>
              <w:widowControl/>
              <w:jc w:val="left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成本控制到位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232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A6F5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1776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A8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F3D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72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4BE9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A0F9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351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6D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1F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53A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F3F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A94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7EEC7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C56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082641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3D4BBA0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3D920B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115F014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040D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63DBEEF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B0C9C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9D79F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无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CE3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34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E9A1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26F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EF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1D14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0C9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C46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60D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4F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864B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641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433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2A1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122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8B4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FCC3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712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767D85A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AE0D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政治生态风清气正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FE35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受理信访件数量下降5%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D24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受理信访件数量下降10%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D38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B455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CB7F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D7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C4554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BA4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422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EFCC2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BB79C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14C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544A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479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EE7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F1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A3C7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611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003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6C5F87C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1D33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64E2E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无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68CA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2CD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3C8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45C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7D7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335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D77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7E15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DCEA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0B831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2B6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931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1C90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031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339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5C9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96E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B92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4B79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一体推进综合监督单位干部职工不敢腐、不能腐、不想腐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F499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受理问题线索数量下降5%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2E2E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受理问题线索数量下降10%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EC4F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025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EFA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A5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B8D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C3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866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2003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5539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30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AF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9E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0D3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0E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CDB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020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551F920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1CEDA63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A1D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E7887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人民群众满意度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EA2BB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信访回复满意度提升5%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D1E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信访回复满意度提升10%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29F0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5D8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341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3C7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53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DCC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1C7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D6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B1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F03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30A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47D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4D44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1D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D46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2C939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6BF3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47C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5A2F4EB">
      <w:pPr>
        <w:spacing w:beforeLines="50"/>
        <w:rPr>
          <w:rFonts w:ascii="Times New Roman" w:hAnsi="Times New Roman" w:eastAsia="仿宋_GB2312"/>
          <w:sz w:val="24"/>
        </w:rPr>
      </w:pPr>
    </w:p>
    <w:p w14:paraId="7B3752D6">
      <w:pPr>
        <w:spacing w:beforeLines="50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  <w:lang w:eastAsia="zh-CN"/>
        </w:rPr>
        <w:t>周小凤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2023.3.22</w:t>
      </w:r>
      <w:r>
        <w:rPr>
          <w:rFonts w:ascii="Times New Roman" w:hAnsi="Times New Roman" w:eastAsia="仿宋_GB2312"/>
          <w:sz w:val="24"/>
        </w:rPr>
        <w:t xml:space="preserve"> 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15973400202</w:t>
      </w:r>
      <w:r>
        <w:rPr>
          <w:rFonts w:ascii="Times New Roman" w:hAnsi="Times New Roman" w:eastAsia="仿宋_GB2312"/>
          <w:sz w:val="24"/>
        </w:rPr>
        <w:t>单位负责人签字：</w:t>
      </w:r>
    </w:p>
    <w:p w14:paraId="5ACB611C">
      <w:pPr>
        <w:rPr>
          <w:rFonts w:ascii="Times New Roman" w:hAnsi="Times New Roman" w:eastAsia="黑体"/>
          <w:sz w:val="32"/>
          <w:szCs w:val="32"/>
        </w:rPr>
      </w:pPr>
    </w:p>
    <w:p w14:paraId="11DD8A47">
      <w:pPr>
        <w:rPr>
          <w:rFonts w:ascii="Times New Roman" w:hAnsi="Times New Roman" w:eastAsia="黑体"/>
          <w:sz w:val="32"/>
          <w:szCs w:val="32"/>
        </w:rPr>
      </w:pPr>
    </w:p>
    <w:p w14:paraId="385E7B24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04AC1301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6292B057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17FA843D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3F7A5471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130A542D">
      <w:pPr>
        <w:pStyle w:val="2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</w:p>
    <w:p w14:paraId="2A808961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1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5163A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B720"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015B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7AF6BD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衡阳市人民政府国有资产监督管理委员会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77E3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23C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2AA742F2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AD4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维稳专项经费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C124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87C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05C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FE6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882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B7D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876E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429777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AE1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4D16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5F9F9AD4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5B84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136D6B7D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11961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 w14:paraId="391FA0E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9447C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46D855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E8B29C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77777B9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3AB4F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7A4E0A0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 w14:paraId="2916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26D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0E1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64BC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BEC8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EF7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FD91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214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CEB4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4DA8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C85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27F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0E4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6F7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F16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12E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91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1A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9E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FD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339A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A89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ACA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D93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DCD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12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EDB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B49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BDA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AD97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AEA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B916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BA9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89F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D7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8A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F2A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F3B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6DBF9F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B5B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99E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3DCB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5189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E8B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分别赴指定地方完成全国、省、市两会的信访维稳值班劝返工作；完成日常及重大节日不定期的信访值班巡查工作；每天完成值班接访、信访件调研回复邮寄等办理工作、不定期赴省进京到市受理劝返工作。　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27C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已完成</w:t>
            </w:r>
          </w:p>
        </w:tc>
      </w:tr>
      <w:tr w14:paraId="3556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008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52C7FF8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31FFAC4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328C12C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460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F1F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589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169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01753BF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18A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4A18052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F23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5E22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F7DE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558778F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40B6131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96C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C76B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7AF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16CDB2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6594F8A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69F46C9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F2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FCD6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赴市到省进京零非访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DFDB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做好信访维稳值班劝返工作，实现赴市到省进京零非访。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3A4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实现赴市到省进京零非访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418F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20B2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683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B27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16A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D6F1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C57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CA830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F8F8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52D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B9B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5E63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57F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4089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6FAE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DF2B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5F1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F72F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完成信访维稳零非访任务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63927">
            <w:pPr>
              <w:widowControl/>
              <w:jc w:val="center"/>
              <w:rPr>
                <w:rFonts w:hint="default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做好信访维稳值班劝返工作，完成信访维稳零非访任务。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8D7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完成信访维稳零非访任务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6BB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B08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3B0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49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DAB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9818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C778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EC6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060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885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1FB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3C3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1A2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63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6DB1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1A2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EDF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11FEE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按各项任务规定的时效完成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5D60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2022年1月至2022年12月。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47D3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BEB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AD62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2CB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37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A9F4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A6E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317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FAC1F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8967">
            <w:pPr>
              <w:widowControl/>
              <w:spacing w:line="280" w:lineRule="exact"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DC3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DD0C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DC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B8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665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AACA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704C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EA8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A14B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工作开展成本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6E760">
            <w:pPr>
              <w:widowControl/>
              <w:jc w:val="center"/>
              <w:rPr>
                <w:rFonts w:hint="eastAsia" w:ascii="Calibri" w:hAnsi="宋体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维稳专项经费为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9万元，包括信访维稳日常办公经费、差旅费等。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719C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未超支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7AE5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CEDE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0B1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03F3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7E13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4D9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E2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03E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36EE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0B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2A8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6FBF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3B3A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BD3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2B2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7A0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1D990F6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7F6E6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1A164C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0B64858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077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1D108B9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D420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促进监管企业安心保增长、创效益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DA72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通过项目的实施，促进监管企业安心保增长、创效益。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57CC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监管企业安心保增长、创效益。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06D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0490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F08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A5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C174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EB08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CA3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4B03B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4E18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492C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9A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A0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B0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B3D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436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4CF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7550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5FAF04F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2534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对国资监管企业和谐发展起促进工作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5A8D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通过项目的实施，促进国资监管企业和谐稳定发展。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117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国资监管企业和谐稳定发展。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CC9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D3A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1C86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E6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DBEE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B76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AC9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3446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2DB4E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9FD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637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403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E465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D60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8373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598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444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54C257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3946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保障企业生态环境完善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2237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通过项目的实施，保障企业生态环境完善。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519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保障企业生态环境完善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3DC3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E507">
            <w:pPr>
              <w:widowControl/>
              <w:tabs>
                <w:tab w:val="left" w:pos="585"/>
              </w:tabs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BEF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91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9FA1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8FA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5E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5FA7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C471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37F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36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8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DBF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DF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A9ED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CA7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97C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A637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保障企业长期可持续发展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9349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通过项目的实施，保障企业长期可持续发展。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63A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企业长期可持续发展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0C2A1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F87F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683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9CF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AC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262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5F8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B5C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82F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1CF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821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9F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C7D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0B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0F9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A5F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3B41A79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17DCC37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FD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89FBB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 xml:space="preserve">  职工群众满意度；</w:t>
            </w:r>
          </w:p>
          <w:p w14:paraId="778DDE4C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企业信访投诉率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E111">
            <w:pPr>
              <w:widowControl/>
              <w:jc w:val="center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通过项目的实施，力争使职工群众对国资委信访维稳满意度达到较好水平，企业信访投诉率明显降低。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A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信访维稳满意度达到较好水平，企业信访投诉率明显降低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6162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DC5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08F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57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CD3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7480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CA9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44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40F9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D8C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A8E0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F94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6B74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9A8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E2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22500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8B1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928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08742A8">
      <w:pPr>
        <w:spacing w:beforeLines="50"/>
        <w:rPr>
          <w:rFonts w:ascii="Times New Roman" w:hAnsi="Times New Roman" w:eastAsia="仿宋_GB2312"/>
          <w:sz w:val="24"/>
        </w:rPr>
      </w:pPr>
    </w:p>
    <w:p w14:paraId="1E0A4BE3">
      <w:pPr>
        <w:spacing w:beforeLines="50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  <w:lang w:eastAsia="zh-CN"/>
        </w:rPr>
        <w:t>周小凤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2023.3.22</w:t>
      </w:r>
      <w:r>
        <w:rPr>
          <w:rFonts w:ascii="Times New Roman" w:hAnsi="Times New Roman" w:eastAsia="仿宋_GB2312"/>
          <w:sz w:val="24"/>
        </w:rPr>
        <w:t xml:space="preserve"> 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15973400202</w:t>
      </w:r>
      <w:r>
        <w:rPr>
          <w:rFonts w:ascii="Times New Roman" w:hAnsi="Times New Roman" w:eastAsia="仿宋_GB2312"/>
          <w:sz w:val="24"/>
        </w:rPr>
        <w:t>单位负责人签字：</w:t>
      </w:r>
    </w:p>
    <w:p w14:paraId="0C5B41E9">
      <w:pPr>
        <w:rPr>
          <w:rFonts w:ascii="Times New Roman" w:hAnsi="Times New Roman" w:eastAsia="黑体"/>
          <w:sz w:val="32"/>
          <w:szCs w:val="32"/>
        </w:rPr>
      </w:pPr>
    </w:p>
    <w:p w14:paraId="651A2502">
      <w:pPr>
        <w:rPr>
          <w:rFonts w:ascii="Times New Roman" w:hAnsi="Times New Roman" w:eastAsia="黑体"/>
          <w:sz w:val="32"/>
          <w:szCs w:val="32"/>
        </w:rPr>
      </w:pPr>
    </w:p>
    <w:p w14:paraId="3F811F71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73136694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1DEDE726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3246E27D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0437F304">
      <w:pPr>
        <w:rPr>
          <w:rFonts w:ascii="Times New Roman" w:hAnsi="Times New Roman" w:eastAsia="黑体"/>
          <w:sz w:val="32"/>
          <w:szCs w:val="32"/>
        </w:rPr>
      </w:pPr>
    </w:p>
    <w:p w14:paraId="53302BA7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1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1A51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A3A9"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2F28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A4309A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eastAsia="zh-CN"/>
              </w:rPr>
              <w:t>衡阳市人民政府国有资产监督管理委员会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7FE7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3319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5E50F1D6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41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国企改革工作经费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EE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CE37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8B2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BE7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32E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8E4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176C0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102E186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02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B093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03A6C36A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66D1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32B3B1B5"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9ED5E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 w14:paraId="2B255DB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38DFF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971BF6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E4755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0D21CF9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34898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6F26EB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 w14:paraId="42EC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E4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BFD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731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2EF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6D199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4E3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F65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9FCC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5221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DE4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BE6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EF6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E52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C972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5E0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2AF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1849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7C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E5E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937B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DE5A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B8F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916E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408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F73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D6A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AAA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FE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430E"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AF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73443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73D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893A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43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304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1BE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BF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64DB272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16E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087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99B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1AF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6E1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按照中央、省市关于国企改革三年行动的决策部署，扎实推进各项改革任务落地见效。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09F3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各项改革任务已落实</w:t>
            </w:r>
          </w:p>
        </w:tc>
      </w:tr>
      <w:tr w14:paraId="4635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292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2993537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4786329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044F8BD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66C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09E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BE7B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E01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36EB021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E8C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084396A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06A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6E2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F40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1D7FA15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556BB36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6504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6D66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9A9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503C286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7037AEC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5480211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4B3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D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国企改革三年行动方案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通过项目的实施，力争使国企改革三年行动方案中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68项具体改革事项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完成率达到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100%。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E9C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C0EF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3BBFE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879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439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E62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7AF2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B5B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A705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CE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0E9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FDCD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C4B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533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B0B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9972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176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52B1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B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深化国企改革，指导建立现代化企业制度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截至2022年底，指导6家企业完成章程修订工作。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52B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6A4C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E366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1AAE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78B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659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5BE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809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F8C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1F2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6F3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E21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40A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1CC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ADD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E5DE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F05B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94A5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按各项任务规定的时限完成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2022年12月底前完成。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0725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已完成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6183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CB3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1E4D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95B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33CE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9C69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178F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37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C1A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A784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34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D35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BA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3E9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F846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CC3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6FD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工作开展成本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eastAsia="zh-CN"/>
              </w:rPr>
              <w:t>国企改革工作经费为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13.5万元，包括国企改革日常办公经费、差旅费等。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7D9A7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达标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37E8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846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C722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4627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AAC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2F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EEE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4AE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8A0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01E2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47D3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749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59A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12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39D4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D4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785AC4D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39AF35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0080AFC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358F34E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981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17A166A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核心竞争力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B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提升国企活力和效率，将国企打造成具有核心竞争力的市场主体。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E82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国企成为具有核心竞争力的市场主体。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8DB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B10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768C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7D7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972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872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62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DB8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054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647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55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B702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91D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7D4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188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2AEBDC6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6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引导国企注重社会效益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通过对监管企业实施分类考核，鼓励企业积极承担社会责任。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83C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国企承担社会责任。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B7AE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4FF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4C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3EB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AEDF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853F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943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32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C0CA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63E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DE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E61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946D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78FB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B89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2B1CE25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5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加强国企生态环境保护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督促监管企业强化生态环境保护、污染治理的各项措施，将生态环境保护工作纳入企业负责人经营业绩考核，严格奖惩。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593A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生态环境保护工作纳入企业负责人经营业绩考核，严格奖惩。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10D75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92EE1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A2E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3A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64D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8E1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BDE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8B5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686E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1DF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9F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15F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C890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43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1D2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9CE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CF0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可持续发展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体现政策导向，保障国资委各项工作平稳进行、可持续发展。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6F1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各项工作平稳进行、可持续发展。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6C34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4A3F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C21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A9F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5E3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5623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4F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7017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21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BB2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DBB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0E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767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0384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33F1F2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27B1D1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25A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国有企业满意度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通过项目的实施，力争使监管企业对项目实施的满意度达到较好水平。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CC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5"/>
                <w:szCs w:val="15"/>
                <w:lang w:val="en-US" w:eastAsia="zh-CN"/>
              </w:rPr>
              <w:t>满意度达到较好水平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9B8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BCA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652A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20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58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D31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673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95B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C60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80F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75AE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7F4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C44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A6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548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DAD3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39A9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EB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4FD12442">
      <w:pPr>
        <w:spacing w:beforeLines="50"/>
        <w:rPr>
          <w:rFonts w:ascii="Times New Roman" w:hAnsi="Times New Roman" w:eastAsia="仿宋_GB2312"/>
          <w:sz w:val="24"/>
        </w:rPr>
      </w:pPr>
    </w:p>
    <w:p w14:paraId="173BCBB3">
      <w:pPr>
        <w:spacing w:beforeLines="5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  <w:lang w:eastAsia="zh-CN"/>
        </w:rPr>
        <w:t>周小凤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2023.3.22</w:t>
      </w:r>
      <w:r>
        <w:rPr>
          <w:rFonts w:ascii="Times New Roman" w:hAnsi="Times New Roman" w:eastAsia="仿宋_GB2312"/>
          <w:sz w:val="24"/>
        </w:rPr>
        <w:t xml:space="preserve"> 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15973400202</w:t>
      </w:r>
      <w:r>
        <w:rPr>
          <w:rFonts w:ascii="Times New Roman" w:hAnsi="Times New Roman" w:eastAsia="仿宋_GB2312"/>
          <w:sz w:val="24"/>
        </w:rPr>
        <w:t>单位负责人签字：</w:t>
      </w:r>
    </w:p>
    <w:p w14:paraId="5F566679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591FFF8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6EAB12F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6F339F0A">
      <w:pPr>
        <w:widowControl/>
        <w:spacing w:line="600" w:lineRule="exact"/>
        <w:jc w:val="left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 w14:paraId="33581066">
      <w:pPr>
        <w:spacing w:line="600" w:lineRule="exact"/>
        <w:jc w:val="both"/>
        <w:rPr>
          <w:rFonts w:ascii="Times New Roman" w:hAnsi="Times New Roman" w:eastAsia="方正小标宋_GBK"/>
          <w:sz w:val="36"/>
          <w:szCs w:val="36"/>
        </w:rPr>
      </w:pPr>
    </w:p>
    <w:p w14:paraId="04BB1F3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衡阳市国资委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</w:t>
      </w:r>
    </w:p>
    <w:p w14:paraId="034ED16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自评报告</w:t>
      </w:r>
    </w:p>
    <w:p w14:paraId="0A131EBA">
      <w:pPr>
        <w:adjustRightInd w:val="0"/>
        <w:spacing w:line="600" w:lineRule="exact"/>
        <w:ind w:right="641"/>
        <w:rPr>
          <w:rFonts w:ascii="Times New Roman" w:hAnsi="Times New Roman" w:eastAsia="仿宋_GB2312"/>
          <w:sz w:val="32"/>
          <w:szCs w:val="32"/>
        </w:rPr>
      </w:pPr>
    </w:p>
    <w:p w14:paraId="3290919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4AC075F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（一）基本情况</w:t>
      </w:r>
    </w:p>
    <w:p w14:paraId="5516DC7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职能职责</w:t>
      </w:r>
    </w:p>
    <w:p w14:paraId="62904B69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1．根据市政府授权，依照《中华人民共和国公司法》、《中华人民共和国企业国有资产法》等法律和行政法规履行出资人 职责，加强所监管企业国有资产的管理工作。 </w:t>
      </w:r>
    </w:p>
    <w:p w14:paraId="6024B44B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2．承担监督所监管企业国有资产保值增值的责任。建立和完善国有资产保值增值指标体系，制定考核标准，通过统计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稽核对所监管企业国有资产的保值增值情况进行监管，负责做好所监管企业工资分配管理工作，拟订所监管企业负责人收入分配政策并组织实施。 </w:t>
      </w:r>
    </w:p>
    <w:p w14:paraId="7A3BC4D1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．负责组织所监管企业上缴国有资本收益，组织拟订国有资本经营预算有关管理制度和办法，按照有关规定负责国有资本经营预决算编制和执行等工作；审核所监管企业向上级争取资金情况，对财政或其他部门划拨到监管企业的资金的使用情况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监管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25B9AB5A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4．负责企业国有资产基础管理，拟订国有资产管理的规范性文件，负责所监管企业国有资产处理管理，负责规范和发展国有企业产权交易市场，并进行监督管理；负责参控股企业国有股权的管理。 </w:t>
      </w:r>
    </w:p>
    <w:p w14:paraId="2205588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．指导推进国有企业改革和重组，推进国有企业的现代企业制度建设，完善公司治理结构，推动国有经济布局和结构的战略性调整；指导所监管企业引进战略投资者与产权(股权)招商引资与资本合作，加强与中央企业、省属企业的对接合作，负责归口组织协调全市与中央企业、省属企业对接合作工作。 </w:t>
      </w:r>
    </w:p>
    <w:p w14:paraId="532CE167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6．通过法定程序对所监管企业的负责人进行任免、考核并根据其经营业绩进行奖惩，建立符合社会主义市场经济体制和现代企业制度要求的选人、用人机制，完善经营者激励和约束制度。 </w:t>
      </w:r>
    </w:p>
    <w:p w14:paraId="2C347678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7．指导、监督全市国有企业法律顾问管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3C499CA4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8．承办市委、市人民政府交办的其他事项。 </w:t>
      </w:r>
    </w:p>
    <w:p w14:paraId="361A63DD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机构设置</w:t>
      </w:r>
    </w:p>
    <w:p w14:paraId="3BBFB281">
      <w:pPr>
        <w:keepNext w:val="0"/>
        <w:keepLines w:val="0"/>
        <w:widowControl/>
        <w:suppressLineNumbers w:val="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有科室有综合法规科、企业改革与科技创新科、监督科、组织人事科（企业领导人员管理科）、考核分配科、资本收益与财务管理科、产权管理科、社会责任科、党建工作科（党委统战部）、宣传与对外合作科、办公室共计 11 个，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编制人数40人，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在职人员 42人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（含派驻纪检监察组7人）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，退休人员 11 人。</w:t>
      </w:r>
    </w:p>
    <w:p w14:paraId="39081EE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（二）项目资金基本情况</w:t>
      </w:r>
    </w:p>
    <w:p w14:paraId="40084EF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2022年度，项目资金预算安排390.56万元，项目支出390.56万元，比上年增长242.65万元，增长164%；</w:t>
      </w:r>
      <w:r>
        <w:rPr>
          <w:rFonts w:hint="eastAsia" w:ascii="华文仿宋" w:hAnsi="华文仿宋" w:eastAsia="华文仿宋"/>
          <w:sz w:val="32"/>
          <w:szCs w:val="24"/>
          <w:lang w:val="zh-CN" w:eastAsia="zh-CN"/>
        </w:rPr>
        <w:t>变化的主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要原因：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本年度新增房屋租金、物业管理、水电费、食堂就餐费支出；新增社保及工伤保险支出；新增对企业补助63万元。其中：派驻派出机构支出24.84万元；国有资产监管支出85.5万元；维稳和国企改革项目支出22.5万元。</w:t>
      </w:r>
    </w:p>
    <w:p w14:paraId="69374E46">
      <w:pPr>
        <w:pStyle w:val="21"/>
        <w:widowControl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项目资金主要用途及涉及范围：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紧扣“国企出资、国资监管、国企党建”三项职能，不折不扣落实市委、市政府决策部署，以国企改革三年行动、平台公司市场化转型、债务风险防范化解等工作为重点，不断做强做优做大市属国有资本和国有企业。</w:t>
      </w:r>
    </w:p>
    <w:p w14:paraId="498631FA"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突出党建引领聚合力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坚持“两个一以贯之”不动摇，国有企业党组织“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把方向、管大局、保落实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”作用显著增强。</w:t>
      </w:r>
    </w:p>
    <w:p w14:paraId="02A62B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（二）突出市场导向强动力。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以企业为主体，以市场为导向，调整存量结构、优化增量投向、做大总量盘子，不断提升企业质量效益，推进市属监管企业提质增效。</w:t>
      </w:r>
    </w:p>
    <w:p w14:paraId="07F264B0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（三）突出深化改革激活力。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按照“可衡量、可考核、可检验、要办事”的总要求，抓好国企改革三年行动。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我市国企改革三年行动完成率连续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5次排名全省第一，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考核评估排名全省第二，仅次于长沙，获评全省优秀，主要做法获全省专刊推介。</w:t>
      </w:r>
    </w:p>
    <w:p w14:paraId="2E83B5D2">
      <w:pPr>
        <w:widowControl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（四）突出职能转变提能力。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按照“专业化、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化、法治化”监管要求，构建以投资风险监管、违规经营责任追究、财务风险防控等为重点的国资监管体系。</w:t>
      </w:r>
    </w:p>
    <w:p w14:paraId="45AF4A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</w:p>
    <w:p w14:paraId="605C067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（三）预算资金绩效目标</w:t>
      </w:r>
    </w:p>
    <w:p w14:paraId="19E7DC47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市国资委根据市政府授权，依照《国资法》、《中华人民共和国公司法》等法律法规代表市政府对监管企业履行出资人职责；承担指导推进国有企业改革和重组；对所监管企业国有资产的保值增值进行监督，加强国有资产的管理工作；推进国有企业的现代企业制度建设，完善公司治理结构；推动国有经济结构和布局的战略性调整等工作。</w:t>
      </w:r>
    </w:p>
    <w:p w14:paraId="1858D1DE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华文仿宋" w:hAnsi="华文仿宋" w:eastAsia="华文仿宋"/>
          <w:sz w:val="32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通过项目的实施，依法合规履行出资人职权，有效落实国有资产保值增值责任，提升国资监管水平，引导企业实现效益更高、质量更好、结构更优的发展，不断做强做优做大国有资本。强化监督主责、化解信访积案、督促巡察整改，努力推动全面从严治党向纵深发展。完成全国、省、市两会的信访维稳值班劝返工作；完成日常及重大节日不定期的信访值班巡查工作；每天完成值班接访、信访件调研回复邮寄等办理工作、不定期赴省进京到市受理劝返工作。按照中央、省市关于国企改革三年行动的决策部署，扎实推进各项改革任务落地见效。</w:t>
      </w:r>
    </w:p>
    <w:p w14:paraId="734FCD1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二、项目资金使用及管理情况</w:t>
      </w:r>
    </w:p>
    <w:p w14:paraId="6760224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（一）项目资金及自筹资金的安排落实、总投入等情况。</w:t>
      </w:r>
    </w:p>
    <w:p w14:paraId="636F33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2022年度，项目资金预算安排390.56万元。</w:t>
      </w:r>
    </w:p>
    <w:p w14:paraId="21EAD8CC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项目资金实际使用情况。</w:t>
      </w:r>
    </w:p>
    <w:p w14:paraId="0AB7F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项目支出390.56万元，比上年增长</w:t>
      </w:r>
      <w:r>
        <w:rPr>
          <w:rFonts w:hint="eastAsia" w:ascii="华文仿宋" w:hAnsi="华文仿宋" w:eastAsia="华文仿宋"/>
          <w:sz w:val="32"/>
          <w:szCs w:val="24"/>
          <w:lang w:val="en-US" w:eastAsia="zh-CN"/>
        </w:rPr>
        <w:t>242.65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万元，增长160%；其中：派驻派出机构支出24.84万元；国有资产监管支出85.5万元；维稳和国企改革项目支出22.5万元。</w:t>
      </w:r>
    </w:p>
    <w:p w14:paraId="195D0EC9"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项目资金管理情况分析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2D497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台了《全面预算管理办法》、《投资监督管理办法》、《规范企业负责人履职待遇、业务支出暂行办法》、《违规经营投资责任追究实施办法》、《中介业务管理办法》等系列管理办法，国资监管制度体系基本形成，有效堵塞监管漏洞和薄弱环节。出台了《市属国有企业选人用人管理办法》和《市国资委监管企业国资代表管理办法》，建立适应现代企业制度要求和市场竞争需要的选人用人机制。</w:t>
      </w:r>
    </w:p>
    <w:p w14:paraId="2068823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三、项目支出组织实施情况</w:t>
      </w:r>
    </w:p>
    <w:p w14:paraId="0A75421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（一）项目资金使用管理情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F27AEAC">
      <w:pPr>
        <w:pStyle w:val="2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2022年度，我委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开展“廉政风险排查”和“招投标专项整治”，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紧扣项目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招投标、违规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投资、产权流转、资金使用、物资采购等关键环节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对有令不行、有禁不止的严肃查处，以有力问责维护制度权威、强化制度执行。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委托中介机构对监管企业开展决算执行、考核指标完成、薪酬待遇发放等专项审计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，开展基层党建、安全生产、环保督察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2轮次，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指导企业向管理要效益，持续强化成本管理，不断提升经营质效。</w:t>
      </w:r>
    </w:p>
    <w:p w14:paraId="7BCCBC80"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项目组织实施情况，主要包括项目招投标、调整、竣工验收等情况。</w:t>
      </w:r>
    </w:p>
    <w:p w14:paraId="7A3615A8"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所有均按照现行规章制度组织项目实施，没有需招投标建设的项目。</w:t>
      </w:r>
    </w:p>
    <w:p w14:paraId="085B63D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 w14:paraId="2C4F405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（一）项目支出决策情况。</w:t>
      </w:r>
    </w:p>
    <w:p w14:paraId="2F63F8F9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项目支出决策按照我委资金使用决策程序实施：支出科室上报项目支出计划；办公室汇总；主任办公会议和党委会研究；领导审批；科室实施。</w:t>
      </w:r>
    </w:p>
    <w:p w14:paraId="0C31668F">
      <w:pPr>
        <w:numPr>
          <w:ilvl w:val="0"/>
          <w:numId w:val="4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eastAsia="宋体"/>
          <w:lang w:eastAsia="zh-CN"/>
        </w:rPr>
      </w:pPr>
      <w:r>
        <w:rPr>
          <w:rFonts w:ascii="Times New Roman" w:hAnsi="Times New Roman" w:eastAsia="楷体_GB2312"/>
          <w:sz w:val="32"/>
          <w:szCs w:val="32"/>
        </w:rPr>
        <w:t>项目支出过程情况。</w:t>
      </w:r>
    </w:p>
    <w:p w14:paraId="20516648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按照项目支出内容和管理职责由各科室提出申请，分管领导签字，科室实施。</w:t>
      </w:r>
    </w:p>
    <w:p w14:paraId="5B833404">
      <w:pPr>
        <w:numPr>
          <w:ilvl w:val="0"/>
          <w:numId w:val="4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项目支出产出情况。</w:t>
      </w:r>
    </w:p>
    <w:p w14:paraId="004109E1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完成11家监管企业2022年度经营业绩考核工作。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组织监管企业按时上缴国有资本收益，未按时上缴的企业数量不超过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国有资产监管经费共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85.5万元，包括产权管理、考核分配、资本收益与财务管理等相关业务开支。</w:t>
      </w:r>
    </w:p>
    <w:p w14:paraId="76566C03">
      <w:pPr>
        <w:numPr>
          <w:ilvl w:val="0"/>
          <w:numId w:val="4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项目支出效益情况。</w:t>
      </w:r>
    </w:p>
    <w:p w14:paraId="278065E5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各项任务的实施，促进国企经济有序发展，通过对监管企业实施分类考核，鼓励企业积极承担社会责任。督促监管企业强化生态环境保护、污染治理的各项措施，将生态环境保护工作纳入企业经营业绩考核，严格奖惩。体现政策导向，保障国资委各项工作平稳进行、可持续发展。通过各个项目的实施，力争使监管企业对项目实施的满意度达到较好水平</w:t>
      </w:r>
    </w:p>
    <w:p w14:paraId="195BF81C">
      <w:pPr>
        <w:numPr>
          <w:ilvl w:val="0"/>
          <w:numId w:val="5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主要经验做法、存在的问题及原因分析</w:t>
      </w:r>
    </w:p>
    <w:p w14:paraId="6EBA24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（一）以调整优化为抓手，实施布局调整。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通过优化国有资本布局，进一步明确市属监管企业，特别是平台公司的主业主责，厘清公司构架，划分专业经营板块，满足市场需要。</w:t>
      </w:r>
    </w:p>
    <w:p w14:paraId="1F803E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（二）以增强实力为重心，推进平台转型。一是注入资产资源，增加资产规模。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开展平台公司经营性资产三年倍增行动，深入推进实施行政事业单位经营性资产资源注入工作，对适合平台公司市场化运作的新增资产资源资金，通过“一事一议”方式报请市政府同意后注入平台公司，进一步做大平台公司资产规模。</w:t>
      </w:r>
    </w:p>
    <w:p w14:paraId="349217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（三）以强化队伍为重点，提升经营能力。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牢固树立人才是“第一资源”的观念，优化国资国企人才队伍结构，提升人员队伍素质，增强国有资本运营能力。</w:t>
      </w:r>
    </w:p>
    <w:p w14:paraId="0FF3EE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（四）以管好资本为主导，建立市场机制。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一是实施分类监管。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对市属监管企业的功能类和竞争类子公司实施分类监管，其中，功能类子公司主要是依法合规承担政府性工程投资建设，竞争类子公司系有清晰的主业主责和稳定市场收益的公司，主要负责市场化项目的投资和经营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二是实施过程监督。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严格贯彻落实《选人用人管理办法》，明确以集团公司和功能类子公司现有人员数量为限额，不再增加人员总数，明确选人用人需全过程纪实，接受外界监督。同时，赋予平台公司选人用人自主权，平台公司选人用人只需事前方案报批，事后结果备案，其他事项均由公司自主负责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三是实施重大事项报告制度。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制定市属监管企业“三重一大”事项报告制度和报告清单，明确报告事项的内容、层级、程序和时限，做到清单内事项应报尽报，加大对违规经营责任追究力度。</w:t>
      </w:r>
    </w:p>
    <w:p w14:paraId="0B43E1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（五）以强化监管为保障，推进清廉建设。</w:t>
      </w:r>
      <w:r>
        <w:rPr>
          <w:rFonts w:hint="eastAsia" w:ascii="华文仿宋" w:hAnsi="华文仿宋" w:eastAsia="华文仿宋" w:cs="华文仿宋"/>
          <w:b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-SA"/>
        </w:rPr>
        <w:t>聚焦近年来巡视巡察、审计监督、专项整治等发现的问题，组织开展以“全面清底、全面整改、全面规范”为主题的“回头看”活动，进一步改进工作作风，保障推动国资国企高质量发展。</w:t>
      </w:r>
      <w:r>
        <w:rPr>
          <w:rFonts w:hint="eastAsia" w:ascii="华文仿宋" w:hAnsi="华文仿宋" w:eastAsia="华文仿宋" w:cs="华文仿宋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华文仿宋" w:hAnsi="华文仿宋" w:eastAsia="华文仿宋" w:cs="华文仿宋"/>
          <w:bCs/>
          <w:kern w:val="2"/>
          <w:sz w:val="32"/>
          <w:szCs w:val="32"/>
          <w:lang w:val="en-US" w:eastAsia="zh-CN" w:bidi="ar-SA"/>
        </w:rPr>
        <w:t>坚持以管资本为主加强国有资产监管,瞄准企业资本布局、关键业务、改革重点领域、运营重要环节,加强事前事中事后监管,形成监管闭环。</w:t>
      </w:r>
      <w:r>
        <w:rPr>
          <w:rFonts w:hint="eastAsia" w:ascii="华文仿宋" w:hAnsi="华文仿宋" w:eastAsia="华文仿宋" w:cs="华文仿宋"/>
          <w:b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华文仿宋" w:hAnsi="华文仿宋" w:eastAsia="华文仿宋" w:cs="华文仿宋"/>
          <w:bCs/>
          <w:kern w:val="2"/>
          <w:sz w:val="32"/>
          <w:szCs w:val="32"/>
          <w:lang w:val="en-US" w:eastAsia="zh-CN" w:bidi="ar-SA"/>
        </w:rPr>
        <w:t>强化追责问责,严格执行违规经营投资损失责任追究办法,加强对企业“一把手”和领导班子的监督，在全市国资系统营造风清气正的良好政治生态。</w:t>
      </w:r>
    </w:p>
    <w:p w14:paraId="662FCE28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38DE02">
      <w:pPr>
        <w:numPr>
          <w:ilvl w:val="0"/>
          <w:numId w:val="5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有关建议</w:t>
      </w:r>
    </w:p>
    <w:p w14:paraId="6F694557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 w14:paraId="4DA08D34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七、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其他需要</w:t>
      </w:r>
      <w:r>
        <w:rPr>
          <w:rFonts w:ascii="Times New Roman" w:hAnsi="Times New Roman" w:eastAsia="黑体"/>
          <w:sz w:val="32"/>
          <w:szCs w:val="32"/>
        </w:rPr>
        <w:t>说明的问题</w:t>
      </w:r>
    </w:p>
    <w:p w14:paraId="39BE1870">
      <w:pPr>
        <w:adjustRightInd w:val="0"/>
        <w:snapToGrid w:val="0"/>
        <w:spacing w:line="600" w:lineRule="exact"/>
        <w:ind w:firstLine="320" w:firstLineChars="1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无。</w:t>
      </w:r>
    </w:p>
    <w:p w14:paraId="0518CD1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附件：项目支出绩效自评表</w:t>
      </w:r>
    </w:p>
    <w:p w14:paraId="544FEC5A">
      <w:pPr>
        <w:jc w:val="both"/>
        <w:rPr>
          <w:rFonts w:ascii="Times New Roman" w:hAnsi="Times New Roman" w:eastAsia="黑体"/>
          <w:sz w:val="32"/>
          <w:szCs w:val="32"/>
        </w:rPr>
      </w:pPr>
    </w:p>
    <w:p w14:paraId="6252068A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06ED7CED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1F1C06AC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2DEBC209">
      <w:pPr>
        <w:pStyle w:val="2"/>
        <w:rPr>
          <w:rFonts w:ascii="Times New Roman" w:hAnsi="Times New Roman" w:eastAsia="黑体"/>
          <w:sz w:val="32"/>
          <w:szCs w:val="32"/>
        </w:rPr>
      </w:pPr>
    </w:p>
    <w:p w14:paraId="17C91F63"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4C91C">
    <w:pPr>
      <w:pStyle w:val="7"/>
      <w:framePr w:wrap="around" w:vAnchor="text" w:hAnchor="margin" w:xAlign="outside" w:y="1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- 15 -</w:t>
    </w:r>
    <w:r>
      <w:rPr>
        <w:rStyle w:val="14"/>
        <w:rFonts w:ascii="Times New Roman" w:hAnsi="Times New Roman"/>
        <w:sz w:val="28"/>
        <w:szCs w:val="28"/>
      </w:rPr>
      <w:fldChar w:fldCharType="end"/>
    </w:r>
  </w:p>
  <w:p w14:paraId="0648AF5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FF70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424FC61"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3F038"/>
    <w:multiLevelType w:val="singleLevel"/>
    <w:tmpl w:val="A903F0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8EF295"/>
    <w:multiLevelType w:val="singleLevel"/>
    <w:tmpl w:val="2E8EF2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C0973E"/>
    <w:multiLevelType w:val="singleLevel"/>
    <w:tmpl w:val="3BC097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F68791"/>
    <w:multiLevelType w:val="singleLevel"/>
    <w:tmpl w:val="52F6879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EAF4DDE"/>
    <w:multiLevelType w:val="singleLevel"/>
    <w:tmpl w:val="5EAF4DD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DBhMWRkYmFhOThiMmNkODMzZTFlNGQzYmE0MDYifQ=="/>
  </w:docVars>
  <w:rsids>
    <w:rsidRoot w:val="00C553EF"/>
    <w:rsid w:val="00012C93"/>
    <w:rsid w:val="000734E3"/>
    <w:rsid w:val="000773D5"/>
    <w:rsid w:val="00080625"/>
    <w:rsid w:val="00082293"/>
    <w:rsid w:val="00093B9D"/>
    <w:rsid w:val="00094646"/>
    <w:rsid w:val="000A561A"/>
    <w:rsid w:val="000D5E7F"/>
    <w:rsid w:val="000E2B59"/>
    <w:rsid w:val="000E2E9C"/>
    <w:rsid w:val="000F775C"/>
    <w:rsid w:val="00135131"/>
    <w:rsid w:val="00135395"/>
    <w:rsid w:val="00173AA9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A03D6"/>
    <w:rsid w:val="002D01D7"/>
    <w:rsid w:val="002F05A3"/>
    <w:rsid w:val="003056F3"/>
    <w:rsid w:val="003126FC"/>
    <w:rsid w:val="00323CF3"/>
    <w:rsid w:val="0032533F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09FF"/>
    <w:rsid w:val="00581EEE"/>
    <w:rsid w:val="005851E9"/>
    <w:rsid w:val="00591495"/>
    <w:rsid w:val="00594AEE"/>
    <w:rsid w:val="005D031D"/>
    <w:rsid w:val="006264B7"/>
    <w:rsid w:val="00677EDD"/>
    <w:rsid w:val="006964D9"/>
    <w:rsid w:val="006F37DA"/>
    <w:rsid w:val="007109A0"/>
    <w:rsid w:val="007123D7"/>
    <w:rsid w:val="00713B58"/>
    <w:rsid w:val="00751BF0"/>
    <w:rsid w:val="00764972"/>
    <w:rsid w:val="00771B0E"/>
    <w:rsid w:val="007A6F2C"/>
    <w:rsid w:val="007B3731"/>
    <w:rsid w:val="007C3C5A"/>
    <w:rsid w:val="007E2D1B"/>
    <w:rsid w:val="007E3E71"/>
    <w:rsid w:val="008241E1"/>
    <w:rsid w:val="00835818"/>
    <w:rsid w:val="00847A3C"/>
    <w:rsid w:val="00893AEC"/>
    <w:rsid w:val="00940D4A"/>
    <w:rsid w:val="00971DB4"/>
    <w:rsid w:val="0097394E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1721"/>
    <w:rsid w:val="00BD4955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1819"/>
    <w:rsid w:val="00E039BF"/>
    <w:rsid w:val="00E323CD"/>
    <w:rsid w:val="00E8571A"/>
    <w:rsid w:val="00E94B12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28D58A7"/>
    <w:rsid w:val="03043E77"/>
    <w:rsid w:val="06147867"/>
    <w:rsid w:val="07C71168"/>
    <w:rsid w:val="0F262ACD"/>
    <w:rsid w:val="128323AA"/>
    <w:rsid w:val="15DA6FC6"/>
    <w:rsid w:val="175630BA"/>
    <w:rsid w:val="18934E7A"/>
    <w:rsid w:val="217D46AD"/>
    <w:rsid w:val="233139A1"/>
    <w:rsid w:val="2CA61530"/>
    <w:rsid w:val="2E660FDE"/>
    <w:rsid w:val="398B5761"/>
    <w:rsid w:val="3A987BA2"/>
    <w:rsid w:val="3BFC0501"/>
    <w:rsid w:val="3F52287D"/>
    <w:rsid w:val="3F53391B"/>
    <w:rsid w:val="416B7C26"/>
    <w:rsid w:val="41C61B6B"/>
    <w:rsid w:val="44A75419"/>
    <w:rsid w:val="4A6F6D2D"/>
    <w:rsid w:val="4D6B46E7"/>
    <w:rsid w:val="551B0E1E"/>
    <w:rsid w:val="5C2F64BB"/>
    <w:rsid w:val="609A4BD3"/>
    <w:rsid w:val="62882016"/>
    <w:rsid w:val="62F62474"/>
    <w:rsid w:val="63BB5E12"/>
    <w:rsid w:val="640815D9"/>
    <w:rsid w:val="65B31738"/>
    <w:rsid w:val="66B91727"/>
    <w:rsid w:val="68CA1553"/>
    <w:rsid w:val="6A9C25B5"/>
    <w:rsid w:val="6AF80B9B"/>
    <w:rsid w:val="6BAD2A66"/>
    <w:rsid w:val="6CDE3E9F"/>
    <w:rsid w:val="6D08781B"/>
    <w:rsid w:val="6EF74444"/>
    <w:rsid w:val="71125845"/>
    <w:rsid w:val="773A3B3B"/>
    <w:rsid w:val="77A24B7F"/>
    <w:rsid w:val="79A2386E"/>
    <w:rsid w:val="7A453D45"/>
    <w:rsid w:val="7CBF1E94"/>
    <w:rsid w:val="7F20194F"/>
    <w:rsid w:val="7F4A2182"/>
    <w:rsid w:val="7F531EB8"/>
    <w:rsid w:val="7F910F92"/>
    <w:rsid w:val="D5FF5A5B"/>
    <w:rsid w:val="FEE59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4"/>
    <w:next w:val="1"/>
    <w:unhideWhenUsed/>
    <w:qFormat/>
    <w:locked/>
    <w:uiPriority w:val="9"/>
    <w:pPr>
      <w:spacing w:after="0" w:line="560" w:lineRule="exact"/>
      <w:ind w:firstLine="648"/>
      <w:outlineLvl w:val="1"/>
    </w:pPr>
    <w:rPr>
      <w:rFonts w:ascii="楷体_GB2312" w:hAnsi="仿宋_GB2312" w:eastAsia="楷体_GB2312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unhideWhenUsed/>
    <w:qFormat/>
    <w:uiPriority w:val="1"/>
    <w:pPr>
      <w:autoSpaceDE w:val="0"/>
      <w:autoSpaceDN w:val="0"/>
      <w:adjustRightInd w:val="0"/>
      <w:spacing w:before="49"/>
      <w:ind w:left="151"/>
      <w:jc w:val="left"/>
    </w:pPr>
    <w:rPr>
      <w:rFonts w:ascii="宋体" w:hAnsi="宋体" w:eastAsia="宋体" w:cs="Times New Roman"/>
      <w:kern w:val="0"/>
      <w:sz w:val="28"/>
    </w:rPr>
  </w:style>
  <w:style w:type="paragraph" w:styleId="5">
    <w:name w:val="annotation text"/>
    <w:basedOn w:val="1"/>
    <w:link w:val="16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6">
    <w:name w:val="Balloon Text"/>
    <w:basedOn w:val="1"/>
    <w:link w:val="17"/>
    <w:qFormat/>
    <w:uiPriority w:val="99"/>
    <w:rPr>
      <w:rFonts w:ascii="Times New Roman" w:hAnsi="Times New Roman"/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annotation reference"/>
    <w:basedOn w:val="13"/>
    <w:qFormat/>
    <w:uiPriority w:val="99"/>
    <w:rPr>
      <w:rFonts w:cs="Times New Roman"/>
      <w:sz w:val="21"/>
      <w:szCs w:val="21"/>
    </w:rPr>
  </w:style>
  <w:style w:type="character" w:customStyle="1" w:styleId="16">
    <w:name w:val="批注文字 Char"/>
    <w:basedOn w:val="13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Char"/>
    <w:basedOn w:val="13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3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13"/>
    <w:link w:val="8"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2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5174</Words>
  <Characters>5573</Characters>
  <Lines>36</Lines>
  <Paragraphs>10</Paragraphs>
  <TotalTime>55</TotalTime>
  <ScaleCrop>false</ScaleCrop>
  <LinksUpToDate>false</LinksUpToDate>
  <CharactersWithSpaces>5786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2021-01-21T15:42:00Z</dcterms:created>
  <dc:creator>lenovo</dc:creator>
  <cp:lastModifiedBy>邓婷</cp:lastModifiedBy>
  <cp:lastPrinted>2023-03-24T15:16:00Z</cp:lastPrinted>
  <dcterms:modified xsi:type="dcterms:W3CDTF">2025-06-16T02:04:05Z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05A3344A75BF4096A4DCE5DEC370004C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