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600AB">
      <w:pPr>
        <w:spacing w:line="580" w:lineRule="exact"/>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2EB3CAE7">
      <w:pPr>
        <w:spacing w:line="580" w:lineRule="exact"/>
        <w:jc w:val="center"/>
        <w:rPr>
          <w:rFonts w:ascii="Times New Roman" w:hAnsi="Times New Roman" w:eastAsia="方正小标宋简体"/>
          <w:sz w:val="36"/>
          <w:szCs w:val="36"/>
        </w:rPr>
      </w:pPr>
      <w:r>
        <w:rPr>
          <w:rFonts w:hint="eastAsia" w:ascii="Times New Roman" w:hAnsi="Times New Roman" w:eastAsia="方正小标宋简体"/>
          <w:sz w:val="36"/>
          <w:szCs w:val="36"/>
        </w:rPr>
        <w:t>（2023</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70BA553A">
      <w:pPr>
        <w:spacing w:line="580" w:lineRule="exact"/>
        <w:jc w:val="center"/>
        <w:rPr>
          <w:rFonts w:ascii="Times New Roman" w:hAnsi="Times New Roman" w:eastAsia="黑体"/>
          <w:sz w:val="32"/>
          <w:szCs w:val="32"/>
        </w:rPr>
      </w:pPr>
    </w:p>
    <w:p w14:paraId="06FD1633">
      <w:pPr>
        <w:spacing w:line="580" w:lineRule="exact"/>
        <w:jc w:val="center"/>
        <w:rPr>
          <w:rFonts w:ascii="Times New Roman" w:hAnsi="Times New Roman" w:eastAsia="黑体"/>
          <w:sz w:val="32"/>
          <w:szCs w:val="32"/>
        </w:rPr>
      </w:pPr>
    </w:p>
    <w:p w14:paraId="51979A0B">
      <w:pPr>
        <w:spacing w:line="580" w:lineRule="exact"/>
        <w:jc w:val="center"/>
        <w:rPr>
          <w:rFonts w:ascii="Times New Roman" w:hAnsi="Times New Roman" w:eastAsia="黑体"/>
          <w:sz w:val="32"/>
          <w:szCs w:val="32"/>
        </w:rPr>
      </w:pPr>
    </w:p>
    <w:p w14:paraId="57164025">
      <w:pPr>
        <w:spacing w:line="580" w:lineRule="exact"/>
        <w:jc w:val="center"/>
        <w:rPr>
          <w:rFonts w:ascii="Times New Roman" w:hAnsi="Times New Roman" w:eastAsia="黑体"/>
          <w:sz w:val="32"/>
          <w:szCs w:val="32"/>
        </w:rPr>
      </w:pPr>
    </w:p>
    <w:p w14:paraId="5CC30621">
      <w:pPr>
        <w:spacing w:line="580" w:lineRule="exact"/>
        <w:rPr>
          <w:rFonts w:ascii="Times New Roman" w:hAnsi="Times New Roman" w:eastAsia="黑体"/>
          <w:sz w:val="32"/>
          <w:szCs w:val="32"/>
        </w:rPr>
      </w:pPr>
    </w:p>
    <w:p w14:paraId="020BC9DE">
      <w:pPr>
        <w:spacing w:line="580" w:lineRule="exact"/>
        <w:jc w:val="center"/>
        <w:rPr>
          <w:rFonts w:ascii="Times New Roman" w:hAnsi="Times New Roman"/>
          <w:sz w:val="36"/>
          <w:szCs w:val="36"/>
        </w:rPr>
      </w:pPr>
    </w:p>
    <w:p w14:paraId="1A5FE849">
      <w:pPr>
        <w:spacing w:line="580" w:lineRule="exact"/>
        <w:jc w:val="center"/>
        <w:rPr>
          <w:rFonts w:ascii="Times New Roman" w:hAnsi="Times New Roman"/>
          <w:sz w:val="36"/>
          <w:szCs w:val="36"/>
        </w:rPr>
      </w:pPr>
    </w:p>
    <w:p w14:paraId="5A33CE64">
      <w:pPr>
        <w:spacing w:line="580" w:lineRule="exact"/>
        <w:jc w:val="center"/>
        <w:rPr>
          <w:rFonts w:ascii="Times New Roman" w:hAnsi="Times New Roman"/>
          <w:sz w:val="36"/>
          <w:szCs w:val="36"/>
        </w:rPr>
      </w:pPr>
      <w:bookmarkStart w:id="0" w:name="_GoBack"/>
      <w:bookmarkEnd w:id="0"/>
    </w:p>
    <w:p w14:paraId="073F514C">
      <w:pPr>
        <w:spacing w:line="580" w:lineRule="exact"/>
        <w:jc w:val="center"/>
        <w:rPr>
          <w:rFonts w:ascii="Times New Roman" w:hAnsi="Times New Roman"/>
          <w:sz w:val="36"/>
          <w:szCs w:val="36"/>
        </w:rPr>
      </w:pPr>
    </w:p>
    <w:p w14:paraId="313A4057">
      <w:pPr>
        <w:spacing w:line="580" w:lineRule="exact"/>
        <w:jc w:val="center"/>
        <w:rPr>
          <w:rFonts w:ascii="Times New Roman" w:hAnsi="Times New Roman"/>
          <w:sz w:val="36"/>
          <w:szCs w:val="36"/>
        </w:rPr>
      </w:pPr>
    </w:p>
    <w:p w14:paraId="69187F73">
      <w:pPr>
        <w:spacing w:line="580" w:lineRule="exact"/>
        <w:jc w:val="center"/>
        <w:rPr>
          <w:rFonts w:ascii="Times New Roman" w:hAnsi="Times New Roman"/>
          <w:sz w:val="36"/>
          <w:szCs w:val="36"/>
        </w:rPr>
      </w:pPr>
    </w:p>
    <w:p w14:paraId="14A1AEB7">
      <w:pPr>
        <w:spacing w:line="580" w:lineRule="exact"/>
        <w:jc w:val="center"/>
        <w:rPr>
          <w:rFonts w:ascii="Times New Roman" w:hAnsi="Times New Roman"/>
          <w:sz w:val="36"/>
          <w:szCs w:val="36"/>
        </w:rPr>
      </w:pPr>
    </w:p>
    <w:p w14:paraId="7F35FA74">
      <w:pPr>
        <w:spacing w:line="580" w:lineRule="exact"/>
        <w:jc w:val="center"/>
        <w:rPr>
          <w:rFonts w:ascii="Times New Roman" w:hAnsi="Times New Roman"/>
          <w:sz w:val="36"/>
          <w:szCs w:val="36"/>
        </w:rPr>
      </w:pPr>
    </w:p>
    <w:p w14:paraId="3AA1DA94">
      <w:pPr>
        <w:spacing w:line="580" w:lineRule="exact"/>
        <w:jc w:val="center"/>
        <w:rPr>
          <w:rFonts w:ascii="Times New Roman" w:hAnsi="Times New Roman"/>
          <w:sz w:val="36"/>
          <w:szCs w:val="36"/>
        </w:rPr>
      </w:pPr>
    </w:p>
    <w:p w14:paraId="551AE4D9">
      <w:pPr>
        <w:spacing w:line="580" w:lineRule="exact"/>
        <w:jc w:val="center"/>
        <w:rPr>
          <w:rFonts w:ascii="Times New Roman" w:hAnsi="Times New Roman"/>
          <w:sz w:val="36"/>
          <w:szCs w:val="36"/>
        </w:rPr>
      </w:pPr>
    </w:p>
    <w:p w14:paraId="0A006EC3">
      <w:pPr>
        <w:spacing w:line="580" w:lineRule="exact"/>
        <w:jc w:val="center"/>
        <w:rPr>
          <w:rFonts w:ascii="Times New Roman" w:hAnsi="Times New Roman"/>
          <w:sz w:val="36"/>
          <w:szCs w:val="36"/>
        </w:rPr>
      </w:pPr>
    </w:p>
    <w:p w14:paraId="0E99744F">
      <w:pPr>
        <w:spacing w:line="580" w:lineRule="exact"/>
        <w:jc w:val="center"/>
        <w:rPr>
          <w:rFonts w:ascii="Times New Roman" w:hAnsi="Times New Roman"/>
          <w:sz w:val="36"/>
          <w:szCs w:val="36"/>
        </w:rPr>
      </w:pPr>
    </w:p>
    <w:p w14:paraId="1E390AEC">
      <w:pPr>
        <w:spacing w:line="580" w:lineRule="exact"/>
        <w:jc w:val="center"/>
        <w:rPr>
          <w:rFonts w:ascii="Times New Roman" w:hAnsi="Times New Roman"/>
          <w:sz w:val="36"/>
          <w:szCs w:val="36"/>
        </w:rPr>
      </w:pPr>
    </w:p>
    <w:p w14:paraId="5426113B">
      <w:pPr>
        <w:spacing w:line="580" w:lineRule="exact"/>
        <w:jc w:val="center"/>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：（盖章）衡阳市卫生健康委员会</w:t>
      </w:r>
    </w:p>
    <w:p w14:paraId="72E92F73">
      <w:pPr>
        <w:spacing w:line="580" w:lineRule="exact"/>
        <w:jc w:val="center"/>
        <w:rPr>
          <w:rFonts w:hint="eastAsia" w:ascii="Times New Roman" w:hAnsi="Times New Roman" w:eastAsia="宋体"/>
          <w:sz w:val="36"/>
          <w:szCs w:val="36"/>
          <w:lang w:val="en" w:eastAsia="zh-CN"/>
        </w:rPr>
      </w:pPr>
      <w:r>
        <w:rPr>
          <w:rFonts w:hint="eastAsia" w:ascii="Times New Roman" w:hAnsi="Times New Roman"/>
          <w:sz w:val="36"/>
          <w:szCs w:val="36"/>
        </w:rPr>
        <w:t>主要负责人签字</w:t>
      </w:r>
      <w:r>
        <w:rPr>
          <w:rFonts w:ascii="Times New Roman" w:hAnsi="Times New Roman"/>
          <w:sz w:val="36"/>
          <w:szCs w:val="36"/>
        </w:rPr>
        <w:t>：</w:t>
      </w:r>
      <w:r>
        <w:rPr>
          <w:rFonts w:hint="eastAsia" w:ascii="Times New Roman" w:hAnsi="Times New Roman"/>
          <w:sz w:val="36"/>
          <w:szCs w:val="36"/>
          <w:lang w:eastAsia="zh-CN"/>
        </w:rPr>
        <w:t>刘英</w:t>
      </w:r>
    </w:p>
    <w:p w14:paraId="3BBDA61C">
      <w:pPr>
        <w:spacing w:line="580" w:lineRule="exact"/>
        <w:jc w:val="center"/>
        <w:rPr>
          <w:rFonts w:ascii="Times New Roman" w:hAnsi="Times New Roman" w:eastAsia="黑体"/>
          <w:sz w:val="36"/>
          <w:szCs w:val="36"/>
        </w:rPr>
      </w:pPr>
    </w:p>
    <w:p w14:paraId="40CBFFDF">
      <w:pPr>
        <w:spacing w:line="580" w:lineRule="exact"/>
        <w:jc w:val="center"/>
        <w:rPr>
          <w:rFonts w:ascii="Times New Roman" w:hAnsi="Times New Roman" w:eastAsia="黑体"/>
          <w:sz w:val="32"/>
          <w:szCs w:val="32"/>
        </w:rPr>
      </w:pPr>
      <w:r>
        <w:rPr>
          <w:rFonts w:hint="eastAsia" w:ascii="Times New Roman" w:hAnsi="Times New Roman" w:eastAsia="黑体"/>
          <w:sz w:val="32"/>
          <w:szCs w:val="32"/>
          <w:lang w:val="en-US" w:eastAsia="zh-CN"/>
        </w:rPr>
        <w:t>2024</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4</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10</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2515A0D8">
      <w:pPr>
        <w:spacing w:line="58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衡阳市卫健委2023年整体支出                   绩效自评报告</w:t>
      </w:r>
    </w:p>
    <w:p w14:paraId="2AE0EC82">
      <w:pPr>
        <w:pStyle w:val="9"/>
        <w:widowControl/>
        <w:spacing w:line="580" w:lineRule="exact"/>
        <w:ind w:firstLine="643"/>
        <w:rPr>
          <w:rFonts w:ascii="黑体" w:eastAsia="黑体"/>
          <w:b/>
          <w:sz w:val="32"/>
          <w:szCs w:val="32"/>
        </w:rPr>
      </w:pPr>
      <w:r>
        <w:rPr>
          <w:rFonts w:hint="eastAsia" w:ascii="黑体" w:eastAsia="黑体"/>
          <w:b/>
          <w:sz w:val="32"/>
          <w:szCs w:val="32"/>
        </w:rPr>
        <w:t>一、单位基本情况</w:t>
      </w:r>
    </w:p>
    <w:p w14:paraId="01FF6885">
      <w:pPr>
        <w:spacing w:line="580" w:lineRule="exact"/>
        <w:ind w:firstLine="630" w:firstLineChars="196"/>
        <w:rPr>
          <w:rFonts w:ascii="仿宋_GB2312" w:hAnsi="华文黑体" w:eastAsia="仿宋_GB2312" w:cs="华文黑体"/>
          <w:b/>
          <w:sz w:val="32"/>
          <w:szCs w:val="32"/>
        </w:rPr>
      </w:pPr>
      <w:r>
        <w:rPr>
          <w:rFonts w:hint="eastAsia" w:ascii="仿宋_GB2312" w:hAnsi="华文黑体" w:eastAsia="仿宋_GB2312" w:cs="华文黑体"/>
          <w:b/>
          <w:sz w:val="32"/>
          <w:szCs w:val="32"/>
        </w:rPr>
        <w:t>（一）衡阳市卫生健康委员会主要职责</w:t>
      </w:r>
    </w:p>
    <w:p w14:paraId="16301828">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贯彻执行国家、省卫生健康工作方针、政策和法律法规。拟定全市卫生健康事业发展政策和措施并组织实施。负责协调推进全市医药卫生体制改革，统筹规划全市卫生健康服务资源配置，指导区域卫生健康规划的编制和实施。</w:t>
      </w:r>
    </w:p>
    <w:p w14:paraId="69CF2905">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2、负责拟定全市疾病预防控制规划、免疫规划、严重危害人民健康的公共卫生问题的干预措施并组织实施。负责卫生应急工作，组织指导突发公共卫生事件的预防控制和各类突发公共卫生事件的医疗卫生救援。承担传染病疫情信息发布工作。</w:t>
      </w:r>
    </w:p>
    <w:p w14:paraId="6D48E73C">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3、负责落实职责范围内的职业卫生、放射卫生、环境卫生、学校卫生、公共场所卫生、饮用水卫生等公共卫生的监督管理。负责传染病防治监督、健全卫生健康综合监督体系。</w:t>
      </w:r>
    </w:p>
    <w:p w14:paraId="5E3F413E">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4、负责计划生育管理和服务工作、开展人口监测预警，研究提出人口和家庭发展相关政策建议、完善计划生育政策。</w:t>
      </w:r>
    </w:p>
    <w:p w14:paraId="7176A215">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5、负责制定医疗机构和医疗服务行业管理办法并监督实施。会同有关部门实施卫生健康专业技术人员资格标准。制定并实施卫生健康专业技术人员执业规则和服务规范，建立医疗机构运行监管和医疗服务评价体系。</w:t>
      </w:r>
    </w:p>
    <w:p w14:paraId="131462F9">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6、组织深化公立医院综合改革，推进管办分离，健全现代医院管理制度。拟定并组织实施推动卫生健康公共服务提供主体多元化、提供方式多样化的政策措施。提出医疗服务和药品价格政策的建议。</w:t>
      </w:r>
    </w:p>
    <w:p w14:paraId="54E0DF70">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7、贯彻执行国家药物政策和国家基本药物制度，开展药品使用监测、临床综合评价和短缺药品预警。组织开展食品安全风险监测，负责食源性疾病及与食品安全事故有关的流行病学调查。</w:t>
      </w:r>
    </w:p>
    <w:p w14:paraId="09E4E585">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8、贯彻落实应对人口老龄化政策措施，推进老年健康服务体系建设和医养结合工作。</w:t>
      </w:r>
    </w:p>
    <w:p w14:paraId="4865FE04">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9、负责组织实施基层医疗卫生、妇幼健康发展规划和政策措施，指导全市基层医疗卫生、妇幼健康服务体系建设，组织实施推进卫生健康基本公共服务。加强全科医生队伍建设。推进卫生健康科技创新发展。</w:t>
      </w:r>
    </w:p>
    <w:p w14:paraId="7385CD43">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10、负责全市健康教育、健康促进和卫生健康信息化建设等工作，组织开展对外交流与援外医疗工作。</w:t>
      </w:r>
    </w:p>
    <w:p w14:paraId="2A658B9C">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11、拟定并组织实施全市中医药中长期发展规划，负责中医药行业监管。</w:t>
      </w:r>
    </w:p>
    <w:p w14:paraId="6BBD2EE6">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12、负责市保健对象的医疗保障工作。承担全市重要会议和重大活动的医疗卫生保障工作。指导全市保健工作。</w:t>
      </w:r>
    </w:p>
    <w:p w14:paraId="5D070C0A">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13、承担市爱国卫生运动委员会、市深化医药卫生体制改革领导小组和市防治艾滋病工作委员会的日常工作，指导市计划生育协会的业务工作。</w:t>
      </w:r>
    </w:p>
    <w:p w14:paraId="26262819">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14、负责全市卫生应急管理工作，承担本系统安全生产监督管理工作。</w:t>
      </w:r>
    </w:p>
    <w:p w14:paraId="37C13CE5">
      <w:pPr>
        <w:spacing w:line="580" w:lineRule="exact"/>
        <w:ind w:firstLine="640" w:firstLineChars="200"/>
        <w:rPr>
          <w:rFonts w:ascii="仿宋_GB2312" w:hAnsi="华文黑体" w:eastAsia="仿宋_GB2312" w:cs="华文黑体"/>
          <w:sz w:val="32"/>
          <w:szCs w:val="32"/>
        </w:rPr>
      </w:pPr>
      <w:r>
        <w:rPr>
          <w:rFonts w:hint="eastAsia" w:ascii="仿宋_GB2312" w:hAnsi="华文黑体" w:eastAsia="仿宋_GB2312" w:cs="华文黑体"/>
          <w:sz w:val="32"/>
          <w:szCs w:val="32"/>
        </w:rPr>
        <w:t>15、完成市委、市政府交办的其他任务。</w:t>
      </w:r>
    </w:p>
    <w:p w14:paraId="33D50D5E">
      <w:pPr>
        <w:spacing w:line="580" w:lineRule="exact"/>
        <w:ind w:firstLine="630" w:firstLineChars="196"/>
        <w:rPr>
          <w:rFonts w:ascii="仿宋_GB2312" w:eastAsia="仿宋_GB2312"/>
          <w:b/>
          <w:sz w:val="32"/>
          <w:szCs w:val="32"/>
        </w:rPr>
      </w:pPr>
      <w:r>
        <w:rPr>
          <w:rFonts w:hint="eastAsia" w:ascii="仿宋_GB2312" w:eastAsia="仿宋_GB2312"/>
          <w:b/>
          <w:sz w:val="32"/>
          <w:szCs w:val="32"/>
        </w:rPr>
        <w:t>（二）内设科室</w:t>
      </w:r>
    </w:p>
    <w:p w14:paraId="2BD3F19B">
      <w:pPr>
        <w:spacing w:line="580" w:lineRule="exact"/>
        <w:ind w:firstLine="645"/>
        <w:rPr>
          <w:rFonts w:ascii="仿宋_GB2312" w:eastAsia="仿宋_GB2312"/>
          <w:sz w:val="32"/>
          <w:szCs w:val="32"/>
        </w:rPr>
      </w:pPr>
      <w:r>
        <w:rPr>
          <w:rFonts w:hint="eastAsia" w:ascii="仿宋_GB2312" w:eastAsia="仿宋_GB2312"/>
          <w:sz w:val="32"/>
          <w:szCs w:val="32"/>
        </w:rPr>
        <w:t>衡阳市卫生健康委员会内设25个科室。分别是办公室、组织人事科、规划发展与信息规划科、财务科、政策法规科、行政审批服务科、体制改革科（市医改办公室）、卫生应急办公室、疾病预防控制科、医政医管科、中医药管理科、基层卫生健康科、妇幼健康科、综合监督科、药物政策与基本药物制度科、人口监测与家庭发展科、宣传科、科技教育科、保健科、职业健康科、食品安全标准与监测科、机关党委、离退休人员管理服务科、老龄健康科、爱国卫生工作科（市爱卫办）。</w:t>
      </w:r>
    </w:p>
    <w:p w14:paraId="398CF09C">
      <w:pPr>
        <w:spacing w:line="580" w:lineRule="exact"/>
        <w:ind w:firstLine="630" w:firstLineChars="196"/>
        <w:rPr>
          <w:rFonts w:ascii="仿宋_GB2312" w:eastAsia="仿宋_GB2312"/>
          <w:b/>
          <w:sz w:val="32"/>
          <w:szCs w:val="32"/>
        </w:rPr>
      </w:pPr>
      <w:r>
        <w:rPr>
          <w:rFonts w:hint="eastAsia" w:ascii="仿宋_GB2312" w:eastAsia="仿宋_GB2312"/>
          <w:b/>
          <w:sz w:val="32"/>
          <w:szCs w:val="32"/>
        </w:rPr>
        <w:t>（三）直属机构</w:t>
      </w:r>
    </w:p>
    <w:p w14:paraId="45D93175">
      <w:pPr>
        <w:spacing w:line="580" w:lineRule="exact"/>
        <w:ind w:firstLine="640" w:firstLineChars="200"/>
        <w:rPr>
          <w:rFonts w:ascii="仿宋_GB2312" w:eastAsia="仿宋_GB2312"/>
          <w:sz w:val="32"/>
          <w:szCs w:val="32"/>
        </w:rPr>
      </w:pPr>
      <w:r>
        <w:rPr>
          <w:rFonts w:hint="eastAsia" w:ascii="仿宋_GB2312" w:eastAsia="仿宋_GB2312"/>
          <w:sz w:val="32"/>
          <w:szCs w:val="32"/>
        </w:rPr>
        <w:t>全市直属医疗卫生机构12家，其中综合医院 4家、中医医院1家、妇幼保健院1家、疾控中心1家、卫生计生监督执法机构1家、血站1家、传染病防治机构1家、精神卫生机构1家、干部疗养院1家。</w:t>
      </w:r>
    </w:p>
    <w:p w14:paraId="5258C6EA">
      <w:pPr>
        <w:spacing w:line="580" w:lineRule="exact"/>
        <w:ind w:firstLine="630" w:firstLineChars="196"/>
        <w:rPr>
          <w:rFonts w:ascii="仿宋_GB2312" w:eastAsia="仿宋_GB2312"/>
          <w:b/>
          <w:color w:val="000000"/>
          <w:sz w:val="32"/>
          <w:szCs w:val="32"/>
        </w:rPr>
      </w:pPr>
      <w:r>
        <w:rPr>
          <w:rFonts w:hint="eastAsia" w:ascii="仿宋_GB2312" w:eastAsia="仿宋_GB2312"/>
          <w:b/>
          <w:color w:val="000000"/>
          <w:sz w:val="32"/>
          <w:szCs w:val="32"/>
        </w:rPr>
        <w:t>（四）人员情况</w:t>
      </w:r>
    </w:p>
    <w:p w14:paraId="153998D2">
      <w:pPr>
        <w:spacing w:line="580" w:lineRule="exact"/>
        <w:ind w:firstLine="630"/>
        <w:rPr>
          <w:rFonts w:ascii="仿宋_GB2312" w:eastAsia="仿宋_GB2312"/>
          <w:color w:val="000000"/>
          <w:sz w:val="32"/>
          <w:szCs w:val="32"/>
        </w:rPr>
      </w:pPr>
      <w:r>
        <w:rPr>
          <w:rFonts w:hint="eastAsia" w:ascii="仿宋_GB2312" w:eastAsia="仿宋_GB2312"/>
          <w:color w:val="000000"/>
          <w:sz w:val="32"/>
          <w:szCs w:val="32"/>
        </w:rPr>
        <w:t xml:space="preserve">我委2023年底实有人数 </w:t>
      </w:r>
      <w:r>
        <w:rPr>
          <w:rFonts w:hint="default" w:ascii="仿宋_GB2312" w:eastAsia="仿宋_GB2312"/>
          <w:color w:val="000000"/>
          <w:sz w:val="32"/>
          <w:szCs w:val="32"/>
          <w:lang w:val="en"/>
        </w:rPr>
        <w:t>123</w:t>
      </w:r>
      <w:r>
        <w:rPr>
          <w:rFonts w:hint="eastAsia" w:ascii="仿宋_GB2312" w:eastAsia="仿宋_GB2312"/>
          <w:color w:val="000000"/>
          <w:sz w:val="32"/>
          <w:szCs w:val="32"/>
        </w:rPr>
        <w:t>人（含市纪委监委派驻机构7人）。其中行政编制实有</w:t>
      </w:r>
      <w:r>
        <w:rPr>
          <w:rFonts w:hint="default" w:ascii="仿宋_GB2312" w:eastAsia="仿宋_GB2312"/>
          <w:color w:val="000000"/>
          <w:sz w:val="32"/>
          <w:szCs w:val="32"/>
          <w:lang w:val="en"/>
        </w:rPr>
        <w:t>52</w:t>
      </w:r>
      <w:r>
        <w:rPr>
          <w:rFonts w:hint="eastAsia" w:ascii="仿宋_GB2312" w:eastAsia="仿宋_GB2312"/>
          <w:color w:val="000000"/>
          <w:sz w:val="32"/>
          <w:szCs w:val="32"/>
        </w:rPr>
        <w:t>人、机关工勤编制实有</w:t>
      </w:r>
      <w:r>
        <w:rPr>
          <w:rFonts w:hint="default" w:ascii="仿宋_GB2312" w:eastAsia="仿宋_GB2312"/>
          <w:color w:val="000000"/>
          <w:sz w:val="32"/>
          <w:szCs w:val="32"/>
          <w:lang w:val="en"/>
        </w:rPr>
        <w:t>1</w:t>
      </w:r>
      <w:r>
        <w:rPr>
          <w:rFonts w:hint="eastAsia" w:ascii="仿宋_GB2312" w:eastAsia="仿宋_GB2312"/>
          <w:color w:val="000000"/>
          <w:sz w:val="32"/>
          <w:szCs w:val="32"/>
        </w:rPr>
        <w:t>人、参公编制实有</w:t>
      </w:r>
      <w:r>
        <w:rPr>
          <w:rFonts w:hint="default" w:ascii="仿宋_GB2312" w:eastAsia="仿宋_GB2312"/>
          <w:color w:val="000000"/>
          <w:sz w:val="32"/>
          <w:szCs w:val="32"/>
          <w:lang w:val="en"/>
        </w:rPr>
        <w:t>13</w:t>
      </w:r>
      <w:r>
        <w:rPr>
          <w:rFonts w:hint="eastAsia" w:ascii="仿宋_GB2312" w:eastAsia="仿宋_GB2312"/>
          <w:color w:val="000000"/>
          <w:sz w:val="32"/>
          <w:szCs w:val="32"/>
        </w:rPr>
        <w:t>人、事业编制实有</w:t>
      </w:r>
      <w:r>
        <w:rPr>
          <w:rFonts w:hint="default" w:ascii="仿宋_GB2312" w:eastAsia="仿宋_GB2312"/>
          <w:color w:val="000000"/>
          <w:sz w:val="32"/>
          <w:szCs w:val="32"/>
          <w:lang w:val="en"/>
        </w:rPr>
        <w:t>57</w:t>
      </w:r>
      <w:r>
        <w:rPr>
          <w:rFonts w:hint="eastAsia" w:ascii="仿宋_GB2312" w:eastAsia="仿宋_GB2312"/>
          <w:color w:val="000000"/>
          <w:sz w:val="32"/>
          <w:szCs w:val="32"/>
        </w:rPr>
        <w:t>人。</w:t>
      </w:r>
    </w:p>
    <w:p w14:paraId="2ABC4C1D">
      <w:pPr>
        <w:pStyle w:val="9"/>
        <w:widowControl/>
        <w:spacing w:line="580" w:lineRule="exact"/>
        <w:ind w:firstLine="643"/>
        <w:rPr>
          <w:rFonts w:ascii="黑体" w:eastAsia="黑体"/>
          <w:b/>
          <w:sz w:val="32"/>
          <w:szCs w:val="32"/>
        </w:rPr>
      </w:pPr>
      <w:r>
        <w:rPr>
          <w:rFonts w:hint="eastAsia" w:ascii="黑体" w:eastAsia="黑体"/>
          <w:b/>
          <w:sz w:val="32"/>
          <w:szCs w:val="32"/>
        </w:rPr>
        <w:t>二、一般公共预算支出情况</w:t>
      </w:r>
    </w:p>
    <w:p w14:paraId="10FEC707">
      <w:pPr>
        <w:pStyle w:val="9"/>
        <w:widowControl/>
        <w:spacing w:line="580" w:lineRule="exact"/>
        <w:ind w:firstLine="643"/>
        <w:rPr>
          <w:rFonts w:ascii="仿宋_GB2312" w:eastAsia="仿宋_GB2312"/>
          <w:b/>
          <w:sz w:val="32"/>
          <w:szCs w:val="32"/>
        </w:rPr>
      </w:pPr>
      <w:r>
        <w:rPr>
          <w:rFonts w:hint="eastAsia" w:ascii="仿宋_GB2312" w:eastAsia="仿宋_GB2312"/>
          <w:b/>
          <w:sz w:val="32"/>
          <w:szCs w:val="32"/>
        </w:rPr>
        <w:t>（一）基本支出情况</w:t>
      </w:r>
    </w:p>
    <w:p w14:paraId="795E9ACA">
      <w:pPr>
        <w:spacing w:line="580" w:lineRule="exact"/>
        <w:ind w:firstLine="643" w:firstLineChars="200"/>
        <w:rPr>
          <w:rFonts w:ascii="仿宋_GB2312" w:eastAsia="仿宋_GB2312"/>
          <w:sz w:val="32"/>
          <w:szCs w:val="32"/>
        </w:rPr>
      </w:pPr>
      <w:r>
        <w:rPr>
          <w:rFonts w:hint="eastAsia" w:ascii="仿宋_GB2312" w:eastAsia="仿宋_GB2312"/>
          <w:b/>
          <w:sz w:val="32"/>
          <w:szCs w:val="32"/>
        </w:rPr>
        <w:t>1、工资福利支出</w:t>
      </w:r>
      <w:r>
        <w:rPr>
          <w:rFonts w:hint="eastAsia" w:ascii="仿宋_GB2312" w:eastAsia="仿宋_GB2312"/>
          <w:sz w:val="32"/>
          <w:szCs w:val="32"/>
        </w:rPr>
        <w:t>。基本工资</w:t>
      </w:r>
      <w:r>
        <w:rPr>
          <w:rFonts w:hint="default" w:ascii="仿宋_GB2312" w:eastAsia="仿宋_GB2312"/>
          <w:sz w:val="32"/>
          <w:szCs w:val="32"/>
          <w:lang w:val="en"/>
        </w:rPr>
        <w:t>707.47</w:t>
      </w:r>
      <w:r>
        <w:rPr>
          <w:rFonts w:hint="eastAsia" w:ascii="仿宋_GB2312" w:eastAsia="仿宋_GB2312"/>
          <w:sz w:val="32"/>
          <w:szCs w:val="32"/>
        </w:rPr>
        <w:t>万元、奖金</w:t>
      </w:r>
      <w:r>
        <w:rPr>
          <w:rFonts w:hint="default" w:ascii="仿宋_GB2312" w:eastAsia="仿宋_GB2312"/>
          <w:sz w:val="32"/>
          <w:szCs w:val="32"/>
          <w:lang w:val="en"/>
        </w:rPr>
        <w:t>190.82</w:t>
      </w:r>
      <w:r>
        <w:rPr>
          <w:rFonts w:hint="eastAsia" w:ascii="仿宋_GB2312" w:eastAsia="仿宋_GB2312"/>
          <w:sz w:val="32"/>
          <w:szCs w:val="32"/>
        </w:rPr>
        <w:t>万元、津贴补贴</w:t>
      </w:r>
      <w:r>
        <w:rPr>
          <w:rFonts w:hint="default" w:ascii="仿宋_GB2312" w:eastAsia="仿宋_GB2312"/>
          <w:sz w:val="32"/>
          <w:szCs w:val="32"/>
          <w:lang w:val="en"/>
        </w:rPr>
        <w:t>420.96</w:t>
      </w:r>
      <w:r>
        <w:rPr>
          <w:rFonts w:hint="eastAsia" w:ascii="仿宋_GB2312" w:eastAsia="仿宋_GB2312"/>
          <w:sz w:val="32"/>
          <w:szCs w:val="32"/>
        </w:rPr>
        <w:t>万元、绩效工资</w:t>
      </w:r>
      <w:r>
        <w:rPr>
          <w:rFonts w:hint="default" w:ascii="仿宋_GB2312" w:eastAsia="仿宋_GB2312"/>
          <w:sz w:val="32"/>
          <w:szCs w:val="32"/>
          <w:lang w:val="en"/>
        </w:rPr>
        <w:t>137.49</w:t>
      </w:r>
      <w:r>
        <w:rPr>
          <w:rFonts w:hint="eastAsia" w:ascii="仿宋_GB2312" w:eastAsia="仿宋_GB2312"/>
          <w:sz w:val="32"/>
          <w:szCs w:val="32"/>
        </w:rPr>
        <w:t>万元、基本养老保险</w:t>
      </w:r>
      <w:r>
        <w:rPr>
          <w:rFonts w:hint="default" w:ascii="仿宋_GB2312" w:eastAsia="仿宋_GB2312"/>
          <w:sz w:val="32"/>
          <w:szCs w:val="32"/>
          <w:lang w:val="en"/>
        </w:rPr>
        <w:t>205.56</w:t>
      </w:r>
      <w:r>
        <w:rPr>
          <w:rFonts w:hint="eastAsia" w:ascii="仿宋_GB2312" w:eastAsia="仿宋_GB2312"/>
          <w:sz w:val="32"/>
          <w:szCs w:val="32"/>
        </w:rPr>
        <w:t>万元、职业年金缴费</w:t>
      </w:r>
      <w:r>
        <w:rPr>
          <w:rFonts w:hint="default" w:ascii="仿宋_GB2312" w:eastAsia="仿宋_GB2312"/>
          <w:sz w:val="32"/>
          <w:szCs w:val="32"/>
          <w:lang w:val="en"/>
        </w:rPr>
        <w:t>192.25</w:t>
      </w:r>
      <w:r>
        <w:rPr>
          <w:rFonts w:hint="eastAsia" w:ascii="仿宋_GB2312" w:eastAsia="仿宋_GB2312"/>
          <w:sz w:val="32"/>
          <w:szCs w:val="32"/>
        </w:rPr>
        <w:t>万元、基本医疗保险</w:t>
      </w:r>
      <w:r>
        <w:rPr>
          <w:rFonts w:hint="default" w:ascii="仿宋_GB2312" w:eastAsia="仿宋_GB2312"/>
          <w:sz w:val="32"/>
          <w:szCs w:val="32"/>
          <w:lang w:val="en"/>
        </w:rPr>
        <w:t>143.8</w:t>
      </w:r>
      <w:r>
        <w:rPr>
          <w:rFonts w:hint="eastAsia" w:ascii="仿宋_GB2312" w:eastAsia="仿宋_GB2312"/>
          <w:sz w:val="32"/>
          <w:szCs w:val="32"/>
        </w:rPr>
        <w:t>万元、其他社会保障缴费</w:t>
      </w:r>
      <w:r>
        <w:rPr>
          <w:rFonts w:hint="default" w:ascii="仿宋_GB2312" w:eastAsia="仿宋_GB2312"/>
          <w:sz w:val="32"/>
          <w:szCs w:val="32"/>
          <w:lang w:val="en"/>
        </w:rPr>
        <w:t>4.48</w:t>
      </w:r>
      <w:r>
        <w:rPr>
          <w:rFonts w:hint="eastAsia" w:ascii="仿宋_GB2312" w:eastAsia="仿宋_GB2312"/>
          <w:sz w:val="32"/>
          <w:szCs w:val="32"/>
        </w:rPr>
        <w:t>万元、住房公积金</w:t>
      </w:r>
      <w:r>
        <w:rPr>
          <w:rFonts w:hint="default" w:ascii="仿宋_GB2312" w:eastAsia="仿宋_GB2312"/>
          <w:sz w:val="32"/>
          <w:szCs w:val="32"/>
          <w:lang w:val="en"/>
        </w:rPr>
        <w:t>17</w:t>
      </w:r>
      <w:r>
        <w:rPr>
          <w:rFonts w:hint="eastAsia" w:ascii="仿宋_GB2312" w:eastAsia="仿宋_GB2312"/>
          <w:sz w:val="32"/>
          <w:szCs w:val="32"/>
          <w:lang w:val="en-US" w:eastAsia="zh-CN"/>
        </w:rPr>
        <w:t>8</w:t>
      </w:r>
      <w:r>
        <w:rPr>
          <w:rFonts w:hint="default" w:ascii="仿宋_GB2312" w:eastAsia="仿宋_GB2312"/>
          <w:sz w:val="32"/>
          <w:szCs w:val="32"/>
          <w:lang w:val="en"/>
        </w:rPr>
        <w:t>.</w:t>
      </w:r>
      <w:r>
        <w:rPr>
          <w:rFonts w:hint="eastAsia" w:ascii="仿宋_GB2312" w:eastAsia="仿宋_GB2312"/>
          <w:sz w:val="32"/>
          <w:szCs w:val="32"/>
          <w:lang w:val="en-US" w:eastAsia="zh-CN"/>
        </w:rPr>
        <w:t>2</w:t>
      </w:r>
      <w:r>
        <w:rPr>
          <w:rFonts w:hint="default" w:ascii="仿宋_GB2312" w:eastAsia="仿宋_GB2312"/>
          <w:sz w:val="32"/>
          <w:szCs w:val="32"/>
          <w:lang w:val="en"/>
        </w:rPr>
        <w:t>1</w:t>
      </w:r>
      <w:r>
        <w:rPr>
          <w:rFonts w:hint="eastAsia" w:ascii="仿宋_GB2312" w:eastAsia="仿宋_GB2312"/>
          <w:sz w:val="32"/>
          <w:szCs w:val="32"/>
        </w:rPr>
        <w:t>万元、医疗费</w:t>
      </w:r>
      <w:r>
        <w:rPr>
          <w:rFonts w:hint="default" w:ascii="仿宋_GB2312" w:eastAsia="仿宋_GB2312"/>
          <w:sz w:val="32"/>
          <w:szCs w:val="32"/>
          <w:lang w:val="en"/>
        </w:rPr>
        <w:t>104.35</w:t>
      </w:r>
      <w:r>
        <w:rPr>
          <w:rFonts w:hint="eastAsia" w:ascii="仿宋_GB2312" w:eastAsia="仿宋_GB2312"/>
          <w:sz w:val="32"/>
          <w:szCs w:val="32"/>
        </w:rPr>
        <w:t xml:space="preserve">万元、其他工资福利支出   </w:t>
      </w:r>
      <w:r>
        <w:rPr>
          <w:rFonts w:hint="default" w:ascii="仿宋_GB2312" w:eastAsia="仿宋_GB2312"/>
          <w:sz w:val="32"/>
          <w:szCs w:val="32"/>
          <w:lang w:val="en"/>
        </w:rPr>
        <w:t>0.57</w:t>
      </w:r>
      <w:r>
        <w:rPr>
          <w:rFonts w:hint="eastAsia" w:ascii="仿宋_GB2312" w:eastAsia="仿宋_GB2312"/>
          <w:sz w:val="32"/>
          <w:szCs w:val="32"/>
        </w:rPr>
        <w:t>万元。</w:t>
      </w:r>
    </w:p>
    <w:p w14:paraId="05AA42A8">
      <w:pPr>
        <w:spacing w:line="580" w:lineRule="exact"/>
        <w:ind w:firstLine="643" w:firstLineChars="200"/>
        <w:rPr>
          <w:rFonts w:ascii="仿宋_GB2312" w:eastAsia="仿宋_GB2312"/>
          <w:sz w:val="32"/>
          <w:szCs w:val="32"/>
        </w:rPr>
      </w:pPr>
      <w:r>
        <w:rPr>
          <w:rFonts w:hint="eastAsia" w:ascii="仿宋_GB2312" w:eastAsia="仿宋_GB2312"/>
          <w:b/>
          <w:sz w:val="32"/>
          <w:szCs w:val="32"/>
        </w:rPr>
        <w:t>2、商品和服务支出。</w:t>
      </w:r>
      <w:r>
        <w:rPr>
          <w:rFonts w:hint="eastAsia" w:ascii="仿宋_GB2312" w:eastAsia="仿宋_GB2312"/>
          <w:b w:val="0"/>
          <w:bCs/>
          <w:sz w:val="32"/>
          <w:szCs w:val="32"/>
          <w:lang w:eastAsia="zh-CN"/>
        </w:rPr>
        <w:t>办公费</w:t>
      </w:r>
      <w:r>
        <w:rPr>
          <w:rFonts w:hint="eastAsia" w:ascii="仿宋_GB2312" w:eastAsia="仿宋_GB2312"/>
          <w:b w:val="0"/>
          <w:bCs/>
          <w:sz w:val="32"/>
          <w:szCs w:val="32"/>
          <w:lang w:val="en-US" w:eastAsia="zh-CN"/>
        </w:rPr>
        <w:t>9.62万元、</w:t>
      </w:r>
      <w:r>
        <w:rPr>
          <w:rFonts w:hint="eastAsia" w:ascii="仿宋_GB2312" w:eastAsia="仿宋_GB2312"/>
          <w:sz w:val="32"/>
          <w:szCs w:val="32"/>
        </w:rPr>
        <w:t>水费</w:t>
      </w:r>
      <w:r>
        <w:rPr>
          <w:rFonts w:hint="eastAsia" w:ascii="仿宋_GB2312" w:eastAsia="仿宋_GB2312"/>
          <w:sz w:val="32"/>
          <w:szCs w:val="32"/>
          <w:lang w:val="en-US" w:eastAsia="zh-CN"/>
        </w:rPr>
        <w:t>1.52</w:t>
      </w:r>
      <w:r>
        <w:rPr>
          <w:rFonts w:hint="eastAsia" w:ascii="仿宋_GB2312" w:eastAsia="仿宋_GB2312"/>
          <w:sz w:val="32"/>
          <w:szCs w:val="32"/>
        </w:rPr>
        <w:t>万元、电费</w:t>
      </w:r>
      <w:r>
        <w:rPr>
          <w:rFonts w:hint="eastAsia" w:ascii="仿宋_GB2312" w:eastAsia="仿宋_GB2312"/>
          <w:sz w:val="32"/>
          <w:szCs w:val="32"/>
          <w:lang w:val="en-US" w:eastAsia="zh-CN"/>
        </w:rPr>
        <w:t>14.03</w:t>
      </w:r>
      <w:r>
        <w:rPr>
          <w:rFonts w:hint="eastAsia" w:ascii="仿宋_GB2312" w:eastAsia="仿宋_GB2312"/>
          <w:sz w:val="32"/>
          <w:szCs w:val="32"/>
        </w:rPr>
        <w:t>万元、邮电费</w:t>
      </w:r>
      <w:r>
        <w:rPr>
          <w:rFonts w:hint="eastAsia" w:ascii="仿宋_GB2312" w:eastAsia="仿宋_GB2312"/>
          <w:sz w:val="32"/>
          <w:szCs w:val="32"/>
          <w:lang w:val="en-US" w:eastAsia="zh-CN"/>
        </w:rPr>
        <w:t>4.18</w:t>
      </w:r>
      <w:r>
        <w:rPr>
          <w:rFonts w:hint="eastAsia" w:ascii="仿宋_GB2312" w:eastAsia="仿宋_GB2312"/>
          <w:sz w:val="32"/>
          <w:szCs w:val="32"/>
        </w:rPr>
        <w:t>万元、物业管理费</w:t>
      </w:r>
      <w:r>
        <w:rPr>
          <w:rFonts w:hint="eastAsia" w:ascii="仿宋_GB2312" w:eastAsia="仿宋_GB2312"/>
          <w:sz w:val="32"/>
          <w:szCs w:val="32"/>
          <w:lang w:val="en-US" w:eastAsia="zh-CN"/>
        </w:rPr>
        <w:t>29.57</w:t>
      </w:r>
      <w:r>
        <w:rPr>
          <w:rFonts w:hint="eastAsia" w:ascii="仿宋_GB2312" w:eastAsia="仿宋_GB2312"/>
          <w:sz w:val="32"/>
          <w:szCs w:val="32"/>
        </w:rPr>
        <w:t>万元、</w:t>
      </w:r>
      <w:r>
        <w:rPr>
          <w:rFonts w:hint="eastAsia" w:ascii="仿宋_GB2312" w:eastAsia="仿宋_GB2312"/>
          <w:sz w:val="32"/>
          <w:szCs w:val="32"/>
          <w:lang w:eastAsia="zh-CN"/>
        </w:rPr>
        <w:t>差旅费</w:t>
      </w:r>
      <w:r>
        <w:rPr>
          <w:rFonts w:hint="eastAsia" w:ascii="仿宋_GB2312" w:eastAsia="仿宋_GB2312"/>
          <w:sz w:val="32"/>
          <w:szCs w:val="32"/>
          <w:lang w:val="en-US" w:eastAsia="zh-CN"/>
        </w:rPr>
        <w:t>2.32万元、</w:t>
      </w:r>
      <w:r>
        <w:rPr>
          <w:rFonts w:hint="eastAsia" w:ascii="仿宋_GB2312" w:eastAsia="仿宋_GB2312"/>
          <w:sz w:val="32"/>
          <w:szCs w:val="32"/>
        </w:rPr>
        <w:t>维修（护）费</w:t>
      </w:r>
      <w:r>
        <w:rPr>
          <w:rFonts w:hint="eastAsia" w:ascii="仿宋_GB2312" w:eastAsia="仿宋_GB2312"/>
          <w:sz w:val="32"/>
          <w:szCs w:val="32"/>
          <w:lang w:val="en-US" w:eastAsia="zh-CN"/>
        </w:rPr>
        <w:t>10.74</w:t>
      </w:r>
      <w:r>
        <w:rPr>
          <w:rFonts w:hint="eastAsia" w:ascii="仿宋_GB2312" w:eastAsia="仿宋_GB2312"/>
          <w:sz w:val="32"/>
          <w:szCs w:val="32"/>
        </w:rPr>
        <w:t>万元、</w:t>
      </w:r>
      <w:r>
        <w:rPr>
          <w:rFonts w:hint="eastAsia" w:ascii="仿宋_GB2312" w:eastAsia="仿宋_GB2312"/>
          <w:sz w:val="32"/>
          <w:szCs w:val="32"/>
          <w:lang w:val="en-US" w:eastAsia="zh-CN"/>
        </w:rPr>
        <w:t>培训费1.62万元、公务接待费0.97万元、劳务费4.3万元、委托业务费2.61万元、工会经费77.75万元、福利费184.36万元、</w:t>
      </w:r>
      <w:r>
        <w:rPr>
          <w:rFonts w:hint="eastAsia" w:ascii="仿宋_GB2312" w:eastAsia="仿宋_GB2312"/>
          <w:sz w:val="32"/>
          <w:szCs w:val="32"/>
        </w:rPr>
        <w:t>公务用车运行维护费</w:t>
      </w:r>
      <w:r>
        <w:rPr>
          <w:rFonts w:hint="eastAsia" w:ascii="仿宋_GB2312" w:eastAsia="仿宋_GB2312"/>
          <w:sz w:val="32"/>
          <w:szCs w:val="32"/>
          <w:lang w:val="en-US" w:eastAsia="zh-CN"/>
        </w:rPr>
        <w:t>4.87</w:t>
      </w:r>
      <w:r>
        <w:rPr>
          <w:rFonts w:hint="eastAsia" w:ascii="仿宋_GB2312" w:eastAsia="仿宋_GB2312"/>
          <w:sz w:val="32"/>
          <w:szCs w:val="32"/>
        </w:rPr>
        <w:t>万元、</w:t>
      </w:r>
      <w:r>
        <w:rPr>
          <w:rFonts w:hint="eastAsia" w:ascii="仿宋_GB2312" w:eastAsia="仿宋_GB2312"/>
          <w:sz w:val="32"/>
          <w:szCs w:val="32"/>
          <w:lang w:eastAsia="zh-CN"/>
        </w:rPr>
        <w:t>其他交通费</w:t>
      </w:r>
      <w:r>
        <w:rPr>
          <w:rFonts w:hint="eastAsia" w:ascii="仿宋_GB2312" w:eastAsia="仿宋_GB2312"/>
          <w:sz w:val="32"/>
          <w:szCs w:val="32"/>
          <w:lang w:val="en-US" w:eastAsia="zh-CN"/>
        </w:rPr>
        <w:t>107.01万元、</w:t>
      </w:r>
      <w:r>
        <w:rPr>
          <w:rFonts w:hint="eastAsia" w:ascii="仿宋_GB2312" w:eastAsia="仿宋_GB2312"/>
          <w:sz w:val="32"/>
          <w:szCs w:val="32"/>
        </w:rPr>
        <w:t>其他商品和服务支出</w:t>
      </w:r>
      <w:r>
        <w:rPr>
          <w:rFonts w:hint="eastAsia" w:ascii="仿宋_GB2312" w:eastAsia="仿宋_GB2312"/>
          <w:sz w:val="32"/>
          <w:szCs w:val="32"/>
          <w:lang w:val="en-US" w:eastAsia="zh-CN"/>
        </w:rPr>
        <w:t>39.9</w:t>
      </w:r>
      <w:r>
        <w:rPr>
          <w:rFonts w:hint="eastAsia" w:ascii="仿宋_GB2312" w:eastAsia="仿宋_GB2312"/>
          <w:sz w:val="32"/>
          <w:szCs w:val="32"/>
        </w:rPr>
        <w:t>万元。</w:t>
      </w:r>
    </w:p>
    <w:p w14:paraId="6917E3A6">
      <w:pPr>
        <w:spacing w:line="580" w:lineRule="exact"/>
        <w:ind w:left="479" w:leftChars="228" w:firstLine="161" w:firstLineChars="50"/>
        <w:rPr>
          <w:rFonts w:hint="eastAsia" w:ascii="仿宋_GB2312" w:eastAsia="仿宋_GB2312"/>
          <w:sz w:val="32"/>
          <w:szCs w:val="32"/>
        </w:rPr>
      </w:pPr>
      <w:r>
        <w:rPr>
          <w:rFonts w:hint="eastAsia" w:ascii="仿宋_GB2312" w:eastAsia="仿宋_GB2312"/>
          <w:b/>
          <w:sz w:val="32"/>
          <w:szCs w:val="32"/>
        </w:rPr>
        <w:t>3、对个人和家庭补助支出</w:t>
      </w:r>
      <w:r>
        <w:rPr>
          <w:rFonts w:hint="eastAsia" w:ascii="仿宋_GB2312" w:eastAsia="仿宋_GB2312"/>
          <w:sz w:val="32"/>
          <w:szCs w:val="32"/>
        </w:rPr>
        <w:t>。抚恤金</w:t>
      </w:r>
      <w:r>
        <w:rPr>
          <w:rFonts w:hint="eastAsia" w:ascii="仿宋_GB2312" w:eastAsia="仿宋_GB2312"/>
          <w:sz w:val="32"/>
          <w:szCs w:val="32"/>
          <w:lang w:val="en-US" w:eastAsia="zh-CN"/>
        </w:rPr>
        <w:t>60.74</w:t>
      </w:r>
      <w:r>
        <w:rPr>
          <w:rFonts w:hint="eastAsia" w:ascii="仿宋_GB2312" w:eastAsia="仿宋_GB2312"/>
          <w:sz w:val="32"/>
          <w:szCs w:val="32"/>
        </w:rPr>
        <w:t>万元、生活</w:t>
      </w:r>
    </w:p>
    <w:p w14:paraId="7C8C5687">
      <w:pPr>
        <w:spacing w:line="580" w:lineRule="exact"/>
        <w:rPr>
          <w:rFonts w:ascii="仿宋_GB2312" w:eastAsia="仿宋_GB2312"/>
          <w:sz w:val="32"/>
          <w:szCs w:val="32"/>
        </w:rPr>
      </w:pPr>
      <w:r>
        <w:rPr>
          <w:rFonts w:hint="eastAsia" w:ascii="仿宋_GB2312" w:eastAsia="仿宋_GB2312"/>
          <w:sz w:val="32"/>
          <w:szCs w:val="32"/>
        </w:rPr>
        <w:t>补助</w:t>
      </w:r>
      <w:r>
        <w:rPr>
          <w:rFonts w:hint="eastAsia" w:ascii="仿宋_GB2312" w:eastAsia="仿宋_GB2312"/>
          <w:sz w:val="32"/>
          <w:szCs w:val="32"/>
          <w:lang w:val="en-US" w:eastAsia="zh-CN"/>
        </w:rPr>
        <w:t>0.41</w:t>
      </w:r>
      <w:r>
        <w:rPr>
          <w:rFonts w:hint="eastAsia" w:ascii="仿宋_GB2312" w:eastAsia="仿宋_GB2312"/>
          <w:sz w:val="32"/>
          <w:szCs w:val="32"/>
        </w:rPr>
        <w:t>万元、</w:t>
      </w:r>
      <w:r>
        <w:rPr>
          <w:rFonts w:hint="eastAsia" w:ascii="仿宋_GB2312" w:eastAsia="仿宋_GB2312"/>
          <w:sz w:val="32"/>
          <w:szCs w:val="32"/>
          <w:lang w:eastAsia="zh-CN"/>
        </w:rPr>
        <w:t>医疗费补助</w:t>
      </w:r>
      <w:r>
        <w:rPr>
          <w:rFonts w:hint="eastAsia" w:ascii="仿宋_GB2312" w:eastAsia="仿宋_GB2312"/>
          <w:sz w:val="32"/>
          <w:szCs w:val="32"/>
          <w:lang w:val="en-US" w:eastAsia="zh-CN"/>
        </w:rPr>
        <w:t>53.3万元、</w:t>
      </w:r>
      <w:r>
        <w:rPr>
          <w:rFonts w:hint="eastAsia" w:ascii="仿宋_GB2312" w:eastAsia="仿宋_GB2312"/>
          <w:sz w:val="32"/>
          <w:szCs w:val="32"/>
        </w:rPr>
        <w:t>其他对个人和家庭的补助</w:t>
      </w:r>
      <w:r>
        <w:rPr>
          <w:rFonts w:hint="eastAsia" w:ascii="仿宋_GB2312" w:eastAsia="仿宋_GB2312"/>
          <w:sz w:val="32"/>
          <w:szCs w:val="32"/>
          <w:lang w:val="en-US" w:eastAsia="zh-CN"/>
        </w:rPr>
        <w:t>309.94</w:t>
      </w:r>
      <w:r>
        <w:rPr>
          <w:rFonts w:hint="eastAsia" w:ascii="仿宋_GB2312" w:eastAsia="仿宋_GB2312"/>
          <w:sz w:val="32"/>
          <w:szCs w:val="32"/>
        </w:rPr>
        <w:t>万元。</w:t>
      </w:r>
    </w:p>
    <w:p w14:paraId="3E1E7A7C">
      <w:pPr>
        <w:spacing w:line="580" w:lineRule="exact"/>
        <w:ind w:firstLine="643" w:firstLineChars="200"/>
        <w:rPr>
          <w:rFonts w:hint="default" w:ascii="仿宋_GB2312" w:eastAsia="仿宋_GB2312"/>
          <w:sz w:val="32"/>
          <w:szCs w:val="32"/>
          <w:lang w:val="en-US" w:eastAsia="zh-CN"/>
        </w:rPr>
      </w:pPr>
      <w:r>
        <w:rPr>
          <w:rFonts w:hint="eastAsia" w:ascii="仿宋_GB2312" w:eastAsia="仿宋_GB2312"/>
          <w:b/>
          <w:sz w:val="32"/>
          <w:szCs w:val="32"/>
        </w:rPr>
        <w:t>4、资本性支出。</w:t>
      </w:r>
      <w:r>
        <w:rPr>
          <w:rFonts w:hint="eastAsia" w:ascii="仿宋_GB2312" w:eastAsia="仿宋_GB2312"/>
          <w:sz w:val="32"/>
          <w:szCs w:val="32"/>
        </w:rPr>
        <w:t>办公设备购置</w:t>
      </w:r>
      <w:r>
        <w:rPr>
          <w:rFonts w:hint="eastAsia" w:ascii="仿宋_GB2312" w:eastAsia="仿宋_GB2312"/>
          <w:sz w:val="32"/>
          <w:szCs w:val="32"/>
          <w:lang w:val="en-US" w:eastAsia="zh-CN"/>
        </w:rPr>
        <w:t>11.72</w:t>
      </w:r>
      <w:r>
        <w:rPr>
          <w:rFonts w:hint="eastAsia" w:ascii="仿宋_GB2312" w:eastAsia="仿宋_GB2312"/>
          <w:sz w:val="32"/>
          <w:szCs w:val="32"/>
        </w:rPr>
        <w:t>万元</w:t>
      </w:r>
      <w:r>
        <w:rPr>
          <w:rFonts w:hint="eastAsia" w:ascii="仿宋_GB2312" w:eastAsia="仿宋_GB2312"/>
          <w:sz w:val="32"/>
          <w:szCs w:val="32"/>
          <w:lang w:eastAsia="zh-CN"/>
        </w:rPr>
        <w:t>、专用设备购置</w:t>
      </w:r>
      <w:r>
        <w:rPr>
          <w:rFonts w:hint="eastAsia" w:ascii="仿宋_GB2312" w:eastAsia="仿宋_GB2312"/>
          <w:sz w:val="32"/>
          <w:szCs w:val="32"/>
          <w:lang w:val="en-US" w:eastAsia="zh-CN"/>
        </w:rPr>
        <w:t>3.1万元。</w:t>
      </w:r>
    </w:p>
    <w:p w14:paraId="1C0D8342">
      <w:pPr>
        <w:pStyle w:val="9"/>
        <w:widowControl/>
        <w:spacing w:line="580" w:lineRule="exact"/>
        <w:ind w:firstLine="643"/>
        <w:rPr>
          <w:rFonts w:ascii="仿宋_GB2312" w:eastAsia="仿宋_GB2312"/>
          <w:b/>
          <w:sz w:val="32"/>
          <w:szCs w:val="32"/>
        </w:rPr>
      </w:pPr>
      <w:r>
        <w:rPr>
          <w:rFonts w:hint="eastAsia" w:ascii="仿宋_GB2312" w:eastAsia="仿宋_GB2312"/>
          <w:b/>
          <w:sz w:val="32"/>
          <w:szCs w:val="32"/>
        </w:rPr>
        <w:t>（二）项目支出情况</w:t>
      </w:r>
    </w:p>
    <w:p w14:paraId="7A800FC1">
      <w:pPr>
        <w:spacing w:line="580" w:lineRule="exact"/>
        <w:ind w:left="160" w:leftChars="76" w:firstLine="480" w:firstLineChars="150"/>
        <w:rPr>
          <w:rFonts w:ascii="仿宋_GB2312" w:eastAsia="仿宋_GB2312"/>
          <w:sz w:val="32"/>
          <w:szCs w:val="32"/>
        </w:rPr>
      </w:pPr>
      <w:r>
        <w:rPr>
          <w:rFonts w:hint="eastAsia" w:ascii="仿宋_GB2312" w:eastAsia="仿宋_GB2312"/>
          <w:sz w:val="32"/>
          <w:szCs w:val="32"/>
          <w:lang w:eastAsia="zh-CN"/>
        </w:rPr>
        <w:t>统计信息事务</w:t>
      </w:r>
      <w:r>
        <w:rPr>
          <w:rFonts w:hint="eastAsia" w:ascii="仿宋_GB2312" w:eastAsia="仿宋_GB2312"/>
          <w:sz w:val="32"/>
          <w:szCs w:val="32"/>
          <w:lang w:val="en-US" w:eastAsia="zh-CN"/>
        </w:rPr>
        <w:t>46.29万元、纪检监察事务9.2万元、</w:t>
      </w:r>
      <w:r>
        <w:rPr>
          <w:rFonts w:hint="eastAsia" w:ascii="仿宋_GB2312" w:eastAsia="仿宋_GB2312"/>
          <w:sz w:val="32"/>
          <w:szCs w:val="32"/>
        </w:rPr>
        <w:t>市场监督管理事务支出</w:t>
      </w:r>
      <w:r>
        <w:rPr>
          <w:rFonts w:hint="eastAsia" w:ascii="仿宋_GB2312" w:eastAsia="仿宋_GB2312"/>
          <w:sz w:val="32"/>
          <w:szCs w:val="32"/>
          <w:lang w:val="en-US" w:eastAsia="zh-CN"/>
        </w:rPr>
        <w:t>21.1</w:t>
      </w:r>
      <w:r>
        <w:rPr>
          <w:rFonts w:hint="eastAsia" w:ascii="仿宋_GB2312" w:eastAsia="仿宋_GB2312"/>
          <w:sz w:val="32"/>
          <w:szCs w:val="32"/>
        </w:rPr>
        <w:t>万元、社会保障和就业支出</w:t>
      </w:r>
      <w:r>
        <w:rPr>
          <w:rFonts w:hint="eastAsia" w:ascii="仿宋_GB2312" w:eastAsia="仿宋_GB2312"/>
          <w:sz w:val="32"/>
          <w:szCs w:val="32"/>
          <w:lang w:val="en-US" w:eastAsia="zh-CN"/>
        </w:rPr>
        <w:t>12.4</w:t>
      </w:r>
      <w:r>
        <w:rPr>
          <w:rFonts w:hint="eastAsia" w:ascii="仿宋_GB2312" w:eastAsia="仿宋_GB2312"/>
          <w:sz w:val="32"/>
          <w:szCs w:val="32"/>
        </w:rPr>
        <w:t xml:space="preserve">   万元、卫生健康管理事务支出</w:t>
      </w:r>
      <w:r>
        <w:rPr>
          <w:rFonts w:hint="eastAsia" w:ascii="仿宋_GB2312" w:eastAsia="仿宋_GB2312"/>
          <w:sz w:val="32"/>
          <w:szCs w:val="32"/>
          <w:lang w:val="en-US" w:eastAsia="zh-CN"/>
        </w:rPr>
        <w:t>618.9</w:t>
      </w:r>
      <w:r>
        <w:rPr>
          <w:rFonts w:hint="eastAsia" w:ascii="仿宋_GB2312" w:eastAsia="仿宋_GB2312"/>
          <w:sz w:val="32"/>
          <w:szCs w:val="32"/>
        </w:rPr>
        <w:t xml:space="preserve">万元、公共卫生支出    </w:t>
      </w:r>
      <w:r>
        <w:rPr>
          <w:rFonts w:hint="eastAsia" w:ascii="仿宋_GB2312" w:eastAsia="仿宋_GB2312"/>
          <w:sz w:val="32"/>
          <w:szCs w:val="32"/>
          <w:lang w:val="en-US" w:eastAsia="zh-CN"/>
        </w:rPr>
        <w:t>1742.51</w:t>
      </w:r>
      <w:r>
        <w:rPr>
          <w:rFonts w:hint="eastAsia" w:ascii="仿宋_GB2312" w:eastAsia="仿宋_GB2312"/>
          <w:sz w:val="32"/>
          <w:szCs w:val="32"/>
        </w:rPr>
        <w:t>万元、计划生育服务支出</w:t>
      </w:r>
      <w:r>
        <w:rPr>
          <w:rFonts w:hint="eastAsia" w:ascii="仿宋_GB2312" w:eastAsia="仿宋_GB2312"/>
          <w:sz w:val="32"/>
          <w:szCs w:val="32"/>
          <w:lang w:val="en-US" w:eastAsia="zh-CN"/>
        </w:rPr>
        <w:t>78</w:t>
      </w:r>
      <w:r>
        <w:rPr>
          <w:rFonts w:hint="eastAsia" w:ascii="仿宋_GB2312" w:eastAsia="仿宋_GB2312"/>
          <w:sz w:val="32"/>
          <w:szCs w:val="32"/>
        </w:rPr>
        <w:t>万元、</w:t>
      </w:r>
      <w:r>
        <w:rPr>
          <w:rFonts w:hint="eastAsia" w:ascii="仿宋_GB2312" w:eastAsia="仿宋_GB2312"/>
          <w:sz w:val="32"/>
          <w:szCs w:val="32"/>
          <w:lang w:eastAsia="zh-CN"/>
        </w:rPr>
        <w:t>环境保护管理事务</w:t>
      </w:r>
      <w:r>
        <w:rPr>
          <w:rFonts w:hint="eastAsia" w:ascii="仿宋_GB2312" w:eastAsia="仿宋_GB2312"/>
          <w:sz w:val="32"/>
          <w:szCs w:val="32"/>
        </w:rPr>
        <w:t>支出</w:t>
      </w:r>
      <w:r>
        <w:rPr>
          <w:rFonts w:hint="eastAsia" w:ascii="仿宋_GB2312" w:eastAsia="仿宋_GB2312"/>
          <w:sz w:val="32"/>
          <w:szCs w:val="32"/>
          <w:lang w:val="en-US" w:eastAsia="zh-CN"/>
        </w:rPr>
        <w:t>10</w:t>
      </w:r>
      <w:r>
        <w:rPr>
          <w:rFonts w:hint="eastAsia" w:ascii="仿宋_GB2312" w:eastAsia="仿宋_GB2312"/>
          <w:sz w:val="32"/>
          <w:szCs w:val="32"/>
        </w:rPr>
        <w:t>万元。</w:t>
      </w:r>
    </w:p>
    <w:p w14:paraId="2D16F6B8">
      <w:pPr>
        <w:widowControl/>
        <w:spacing w:line="580" w:lineRule="exact"/>
        <w:ind w:firstLine="643" w:firstLineChars="200"/>
        <w:rPr>
          <w:rFonts w:ascii="黑体" w:hAnsi="Times New Roman" w:eastAsia="黑体"/>
          <w:b/>
          <w:sz w:val="32"/>
          <w:szCs w:val="32"/>
        </w:rPr>
      </w:pPr>
      <w:r>
        <w:rPr>
          <w:rFonts w:hint="eastAsia" w:ascii="黑体" w:hAnsi="Times New Roman" w:eastAsia="黑体"/>
          <w:b/>
          <w:sz w:val="32"/>
          <w:szCs w:val="32"/>
        </w:rPr>
        <w:t>三、政府性基金预算支出情况</w:t>
      </w:r>
    </w:p>
    <w:p w14:paraId="1772470E">
      <w:pPr>
        <w:widowControl/>
        <w:spacing w:line="580" w:lineRule="exact"/>
        <w:ind w:firstLine="643" w:firstLineChars="200"/>
        <w:rPr>
          <w:rFonts w:ascii="黑体" w:hAnsi="Times New Roman" w:eastAsia="黑体"/>
          <w:b/>
          <w:sz w:val="32"/>
          <w:szCs w:val="32"/>
        </w:rPr>
      </w:pPr>
      <w:r>
        <w:rPr>
          <w:rFonts w:hint="eastAsia" w:ascii="黑体" w:hAnsi="Times New Roman" w:eastAsia="黑体"/>
          <w:b/>
          <w:sz w:val="32"/>
          <w:szCs w:val="32"/>
        </w:rPr>
        <w:t>无</w:t>
      </w:r>
    </w:p>
    <w:p w14:paraId="7FE8D877">
      <w:pPr>
        <w:widowControl/>
        <w:spacing w:line="580" w:lineRule="exact"/>
        <w:ind w:firstLine="643" w:firstLineChars="200"/>
        <w:rPr>
          <w:rFonts w:ascii="黑体" w:hAnsi="Times New Roman" w:eastAsia="黑体"/>
          <w:b/>
          <w:sz w:val="32"/>
          <w:szCs w:val="32"/>
        </w:rPr>
      </w:pPr>
      <w:r>
        <w:rPr>
          <w:rFonts w:hint="eastAsia" w:ascii="黑体" w:hAnsi="Times New Roman" w:eastAsia="黑体"/>
          <w:b/>
          <w:sz w:val="32"/>
          <w:szCs w:val="32"/>
        </w:rPr>
        <w:t>四、国有资本经营预算支出情况</w:t>
      </w:r>
    </w:p>
    <w:p w14:paraId="0AAF4127">
      <w:pPr>
        <w:widowControl/>
        <w:spacing w:line="580" w:lineRule="exact"/>
        <w:ind w:firstLine="643" w:firstLineChars="200"/>
        <w:rPr>
          <w:rFonts w:ascii="黑体" w:hAnsi="Times New Roman" w:eastAsia="黑体"/>
          <w:b/>
          <w:sz w:val="32"/>
          <w:szCs w:val="32"/>
        </w:rPr>
      </w:pPr>
      <w:r>
        <w:rPr>
          <w:rFonts w:hint="eastAsia" w:ascii="黑体" w:hAnsi="Times New Roman" w:eastAsia="黑体"/>
          <w:b/>
          <w:sz w:val="32"/>
          <w:szCs w:val="32"/>
        </w:rPr>
        <w:t>无</w:t>
      </w:r>
    </w:p>
    <w:p w14:paraId="48395D5D">
      <w:pPr>
        <w:widowControl/>
        <w:spacing w:line="580" w:lineRule="exact"/>
        <w:ind w:firstLine="643" w:firstLineChars="200"/>
        <w:rPr>
          <w:rFonts w:ascii="黑体" w:hAnsi="Times New Roman" w:eastAsia="黑体"/>
          <w:b/>
          <w:sz w:val="32"/>
          <w:szCs w:val="32"/>
        </w:rPr>
      </w:pPr>
      <w:r>
        <w:rPr>
          <w:rFonts w:hint="eastAsia" w:ascii="黑体" w:hAnsi="Times New Roman" w:eastAsia="黑体"/>
          <w:b/>
          <w:sz w:val="32"/>
          <w:szCs w:val="32"/>
        </w:rPr>
        <w:t>五、社会保险基金预算支出情况</w:t>
      </w:r>
    </w:p>
    <w:p w14:paraId="281F0080">
      <w:pPr>
        <w:widowControl/>
        <w:spacing w:line="580" w:lineRule="exact"/>
        <w:ind w:firstLine="643" w:firstLineChars="200"/>
        <w:rPr>
          <w:rFonts w:ascii="黑体" w:hAnsi="Times New Roman" w:eastAsia="黑体"/>
          <w:b/>
          <w:sz w:val="32"/>
          <w:szCs w:val="32"/>
        </w:rPr>
      </w:pPr>
      <w:r>
        <w:rPr>
          <w:rFonts w:hint="eastAsia" w:ascii="黑体" w:hAnsi="Times New Roman" w:eastAsia="黑体"/>
          <w:b/>
          <w:sz w:val="32"/>
          <w:szCs w:val="32"/>
        </w:rPr>
        <w:t>无</w:t>
      </w:r>
    </w:p>
    <w:p w14:paraId="11BF732C">
      <w:pPr>
        <w:spacing w:line="580" w:lineRule="exact"/>
        <w:ind w:firstLine="643" w:firstLineChars="200"/>
        <w:rPr>
          <w:rFonts w:hint="eastAsia" w:ascii="黑体" w:hAnsi="Times New Roman" w:eastAsia="黑体"/>
          <w:b/>
          <w:sz w:val="32"/>
          <w:szCs w:val="32"/>
        </w:rPr>
      </w:pPr>
      <w:r>
        <w:rPr>
          <w:rFonts w:hint="eastAsia" w:ascii="黑体" w:hAnsi="Times New Roman" w:eastAsia="黑体"/>
          <w:b/>
          <w:sz w:val="32"/>
          <w:szCs w:val="32"/>
          <w:lang w:val="en"/>
        </w:rPr>
        <w:t>六、部门整体支出绩效情况</w:t>
      </w:r>
    </w:p>
    <w:p w14:paraId="4012AEBA">
      <w:pPr>
        <w:spacing w:line="580" w:lineRule="exact"/>
        <w:ind w:firstLine="643" w:firstLineChars="200"/>
        <w:rPr>
          <w:rFonts w:hint="eastAsia" w:ascii="黑体" w:hAnsi="Times New Roman" w:eastAsia="黑体"/>
          <w:b/>
          <w:sz w:val="32"/>
          <w:szCs w:val="32"/>
        </w:rPr>
      </w:pPr>
      <w:r>
        <w:rPr>
          <w:rFonts w:hint="eastAsia" w:ascii="仿宋_GB2312" w:eastAsia="仿宋_GB2312"/>
          <w:b/>
          <w:sz w:val="32"/>
          <w:szCs w:val="32"/>
        </w:rPr>
        <w:t>（一）新冠疫情防控平稳转段。一是率先实现重症清零。</w:t>
      </w:r>
      <w:r>
        <w:rPr>
          <w:rFonts w:hint="eastAsia" w:ascii="仿宋_GB2312" w:eastAsia="仿宋_GB2312"/>
          <w:sz w:val="32"/>
          <w:szCs w:val="32"/>
        </w:rPr>
        <w:t>2023年2月5日，衡阳在全省率先实现住院重症病例清零。疫情防控和医疗救治工作10余次被央视和国省媒体报道，得到国务院督导组和省、市领导充分肯定。</w:t>
      </w:r>
      <w:r>
        <w:rPr>
          <w:rFonts w:hint="eastAsia" w:ascii="仿宋_GB2312" w:eastAsia="仿宋_GB2312"/>
          <w:b/>
          <w:sz w:val="32"/>
          <w:szCs w:val="32"/>
        </w:rPr>
        <w:t>二是有效实现“乙类乙管”。</w:t>
      </w:r>
      <w:r>
        <w:rPr>
          <w:rFonts w:hint="eastAsia" w:ascii="仿宋_GB2312" w:eastAsia="仿宋_GB2312"/>
          <w:sz w:val="32"/>
          <w:szCs w:val="32"/>
        </w:rPr>
        <w:t>及时调整联防联控机制，落实“乙类乙管”各项防控措施，开展新冠感染哨点监测和病毒变异株监测，针对监测到的170株新冠病毒变异株，认真研判并采取相应措施。三是快速实现高效救治。科学设置发热门诊、发热诊室，配足医疗力量和床位、设备、药品、试剂，开展应急处置技能竞赛，持续提升医疗救治能力，确保新冠患者得到有效救治。</w:t>
      </w:r>
    </w:p>
    <w:p w14:paraId="68D981B6">
      <w:pPr>
        <w:ind w:firstLine="643" w:firstLineChars="200"/>
        <w:rPr>
          <w:rFonts w:hint="eastAsia" w:ascii="仿宋_GB2312" w:eastAsia="仿宋_GB2312"/>
          <w:sz w:val="32"/>
          <w:szCs w:val="32"/>
        </w:rPr>
      </w:pPr>
      <w:r>
        <w:rPr>
          <w:rFonts w:hint="eastAsia" w:ascii="仿宋_GB2312" w:eastAsia="仿宋_GB2312"/>
          <w:b/>
          <w:sz w:val="32"/>
          <w:szCs w:val="32"/>
        </w:rPr>
        <w:t>（二）医药卫生体制改革不断深化。</w:t>
      </w:r>
      <w:r>
        <w:rPr>
          <w:rFonts w:hint="eastAsia" w:ascii="仿宋_GB2312" w:eastAsia="仿宋_GB2312"/>
          <w:sz w:val="32"/>
          <w:szCs w:val="32"/>
        </w:rPr>
        <w:t>医改相关工作被人民日报、央视、新华社、健康报等媒体推介报道14次。衡南县获得2023年全省深化医药卫生体制改革真抓实干工作督查激励。</w:t>
      </w:r>
      <w:r>
        <w:rPr>
          <w:rFonts w:hint="eastAsia" w:ascii="仿宋_GB2312" w:eastAsia="仿宋_GB2312"/>
          <w:b/>
          <w:sz w:val="32"/>
          <w:szCs w:val="32"/>
        </w:rPr>
        <w:t>一是推动公立医院高质量发展。</w:t>
      </w:r>
      <w:r>
        <w:rPr>
          <w:rFonts w:hint="eastAsia" w:ascii="仿宋_GB2312" w:eastAsia="仿宋_GB2312"/>
          <w:sz w:val="32"/>
          <w:szCs w:val="32"/>
        </w:rPr>
        <w:t>完成《衡阳市“十四五”医疗卫生服务体系规划》编制，6家公立医院被确定为湖南省公立医院高质量发展示范性医院建设单位和培育单位，数量居全省第一。4家综合性医院一次性通过“三甲”复评，4家三级医院达到卓越服务示范医院标准，国家三级综合医院绩效考核中有3家医院获评“A”级。</w:t>
      </w:r>
      <w:r>
        <w:rPr>
          <w:rFonts w:hint="eastAsia" w:ascii="仿宋_GB2312" w:eastAsia="仿宋_GB2312"/>
          <w:b/>
          <w:sz w:val="32"/>
          <w:szCs w:val="32"/>
        </w:rPr>
        <w:t>二是落实基本药物制度。</w:t>
      </w:r>
      <w:r>
        <w:rPr>
          <w:rFonts w:hint="eastAsia" w:ascii="仿宋_GB2312" w:eastAsia="仿宋_GB2312"/>
          <w:sz w:val="32"/>
          <w:szCs w:val="32"/>
        </w:rPr>
        <w:t>完善短缺药品供应保障机制，衡阳县、耒阳市率先建立短缺药品保供基地。全市二、三级医院及基层医疗机构使用基本药物金额占比分别为53.3%、39.5%、81.8%，均超过省规定比例。大力推进医用耗材SPD精细化管理，医疗机构住院次均药品费用、门诊次均药品费用降幅明显。</w:t>
      </w:r>
      <w:r>
        <w:rPr>
          <w:rFonts w:hint="eastAsia" w:ascii="仿宋_GB2312" w:eastAsia="仿宋_GB2312"/>
          <w:b/>
          <w:sz w:val="32"/>
          <w:szCs w:val="32"/>
        </w:rPr>
        <w:t>三是强化综合监督执法。</w:t>
      </w:r>
      <w:r>
        <w:rPr>
          <w:rFonts w:hint="eastAsia" w:ascii="仿宋_GB2312" w:eastAsia="仿宋_GB2312"/>
          <w:sz w:val="32"/>
          <w:szCs w:val="32"/>
        </w:rPr>
        <w:t>创新实践“体检式”和“沉浸式”卫生监督双模式，全面加大监督执法力度，办理行政处罚案件984件，罚没金额266.94万元。国家“双随机、一公开”监督抽查988单，完结率100%。深入开展医疗行业综合监管和涉医麻精药品管理专项整治行动，累计检查医疗机构900家，责令限期改正51家，暂停《印鉴卡》4家。衡阳市卫计综合监督执法局“职业卫生分类监管项目”获评“湖南省‘十四五’卫生健康法治政府建设示范项目”。</w:t>
      </w:r>
    </w:p>
    <w:p w14:paraId="61C0A07D">
      <w:pPr>
        <w:ind w:firstLine="643" w:firstLineChars="200"/>
        <w:rPr>
          <w:rFonts w:hint="eastAsia" w:ascii="仿宋_GB2312" w:eastAsia="仿宋_GB2312"/>
          <w:sz w:val="32"/>
          <w:szCs w:val="32"/>
        </w:rPr>
      </w:pPr>
      <w:r>
        <w:rPr>
          <w:rFonts w:hint="eastAsia" w:ascii="仿宋_GB2312" w:eastAsia="仿宋_GB2312"/>
          <w:b/>
          <w:sz w:val="32"/>
          <w:szCs w:val="32"/>
        </w:rPr>
        <w:t>（三）医疗卫生服务质量持续提升。一是着力推进健康衡阳建设。</w:t>
      </w:r>
      <w:r>
        <w:rPr>
          <w:rFonts w:hint="eastAsia" w:ascii="仿宋_GB2312" w:eastAsia="仿宋_GB2312"/>
          <w:sz w:val="32"/>
          <w:szCs w:val="32"/>
        </w:rPr>
        <w:t>深入开展爱国卫生运动，持续巩固国家卫生城市创建成果，健康影响评估制度建设试点在全国工作座谈会上作经验交流发言。全市健康素养水平达到30.22%，较上年提高1.96个百分点。</w:t>
      </w:r>
      <w:r>
        <w:rPr>
          <w:rFonts w:hint="eastAsia" w:ascii="仿宋_GB2312" w:eastAsia="仿宋_GB2312"/>
          <w:b/>
          <w:sz w:val="32"/>
          <w:szCs w:val="32"/>
        </w:rPr>
        <w:t>二是着力完善公共卫生服务体系。</w:t>
      </w:r>
      <w:r>
        <w:rPr>
          <w:rFonts w:hint="eastAsia" w:ascii="仿宋_GB2312" w:eastAsia="仿宋_GB2312"/>
          <w:sz w:val="32"/>
          <w:szCs w:val="32"/>
        </w:rPr>
        <w:t>市、县两级均成立疾控局。高效处置各类突发事件10余起，培训第一目击者5.6万人。创新学生心理健康家校共育“12345”模式，成功入选湖南省人民政府重点工作40项典型经验做法。衡阳市第二人民医院成立全市首家社会心理服务指导中心。衡阳市第三人民医院被授予“国家HIV精准医疗标准化项目标杆单位”。衡阳市疾控中心荣获全省癌症早诊早治工作先进单位。衡阳市中心血站采血量和采血人次均创历史最高纪录。</w:t>
      </w:r>
      <w:r>
        <w:rPr>
          <w:rFonts w:hint="eastAsia" w:ascii="仿宋_GB2312" w:eastAsia="仿宋_GB2312"/>
          <w:b/>
          <w:sz w:val="32"/>
          <w:szCs w:val="32"/>
        </w:rPr>
        <w:t>三是着力提升医疗服务能力。</w:t>
      </w:r>
      <w:r>
        <w:rPr>
          <w:rFonts w:hint="eastAsia" w:ascii="仿宋_GB2312" w:eastAsia="仿宋_GB2312"/>
          <w:sz w:val="32"/>
          <w:szCs w:val="32"/>
        </w:rPr>
        <w:t>成功举办“衡山论健”“湘沪情·湘医行”等大型活动，进一步提升衡阳卫健工作影响力。全面实施改善就医感受20条措施，群众就医体验感和满意度明显提升。上海儿童医学中心儿科湘南分中心落户衡阳市中心医院。南华附一医院内分泌科、南华医院神经内科获批国家临床重点专科建设项目，南华附二医院神经外科获批国家临床重点专科培育项目。衡阳市第一人民医院推行“8个一站式”服务，不断健全创新服务举措。国家中医药综合改革示范区先导区建设有序推进。衡东县成功创建“全国基层中医药工作示范县”。衡阳市中医医院心病科等7个科室成功入选省中医重点专科。衡阳市第四人民医院专家开创性获得中西医结合临床硕士研究生导师资格。珠晖区建成并投用全省中药共享调剂配送中心。基层医疗卫生服务机构全面推行公共卫生服务与慢病管理“一站式服务”，深入开展“优质服务基层行”创建活动，194家基层医疗服务机构达到基本标准，32家达到推荐标准。蒸湘区红湘街道社区卫生服务中心等6家基层医疗卫生机构被评为全国“优质服务基层行”先进单位。石鼓区在全省率先试点乡村医生等级评定工作。</w:t>
      </w:r>
    </w:p>
    <w:p w14:paraId="12FE87DE">
      <w:pPr>
        <w:ind w:firstLine="643" w:firstLineChars="200"/>
        <w:rPr>
          <w:rFonts w:hint="eastAsia" w:ascii="仿宋_GB2312" w:eastAsia="仿宋_GB2312"/>
          <w:sz w:val="32"/>
          <w:szCs w:val="32"/>
        </w:rPr>
      </w:pPr>
      <w:r>
        <w:rPr>
          <w:rFonts w:hint="eastAsia" w:ascii="仿宋_GB2312" w:eastAsia="仿宋_GB2312"/>
          <w:b/>
          <w:sz w:val="32"/>
          <w:szCs w:val="32"/>
        </w:rPr>
        <w:t>（四）民生实事项目超额完成。一是落实重点民生实事任务。</w:t>
      </w:r>
      <w:r>
        <w:rPr>
          <w:rFonts w:hint="eastAsia" w:ascii="仿宋_GB2312" w:eastAsia="仿宋_GB2312"/>
          <w:sz w:val="32"/>
          <w:szCs w:val="32"/>
        </w:rPr>
        <w:t>完成7万余名农村妇女和城镇低保适龄妇女免费“两癌”检查，南岳区妇幼保健计划生育服务中心等6家县级妇幼保健机构完成标准化建设。全面完成1265家村卫生室标准化建设市级民生实事项目，2268个行政村卫生室门诊统筹医保定点实现全覆盖。祁东县完成263家村卫生室标准化建设，年度任务完成率121.8%。</w:t>
      </w:r>
      <w:r>
        <w:rPr>
          <w:rFonts w:hint="eastAsia" w:ascii="仿宋_GB2312" w:eastAsia="仿宋_GB2312"/>
          <w:b/>
          <w:sz w:val="32"/>
          <w:szCs w:val="32"/>
        </w:rPr>
        <w:t>二是落实特殊群体帮扶救助。</w:t>
      </w:r>
      <w:r>
        <w:rPr>
          <w:rFonts w:hint="eastAsia" w:ascii="仿宋_GB2312" w:eastAsia="仿宋_GB2312"/>
          <w:sz w:val="32"/>
          <w:szCs w:val="32"/>
        </w:rPr>
        <w:t>确认农村奖扶对象86336人、计划生育特扶对象6392人，按要求落实各项政策待遇。2023年起，政府为1500余名失独对象全额代缴城镇居民医保。新建尘肺病康复站9家，实现全市100人以上尘肺病患者乡镇康复站全覆盖，救治救助无责任主体尘肺病农民工2410人。</w:t>
      </w:r>
      <w:r>
        <w:rPr>
          <w:rFonts w:hint="eastAsia" w:ascii="仿宋_GB2312" w:eastAsia="仿宋_GB2312"/>
          <w:b/>
          <w:sz w:val="32"/>
          <w:szCs w:val="32"/>
        </w:rPr>
        <w:t>三是落实“一老一小”服务保障。</w:t>
      </w:r>
      <w:r>
        <w:rPr>
          <w:rFonts w:hint="eastAsia" w:ascii="仿宋_GB2312" w:eastAsia="仿宋_GB2312"/>
          <w:sz w:val="32"/>
          <w:szCs w:val="32"/>
        </w:rPr>
        <w:t>为9876名“五类特困老人”投保，参保率100%。衡山县白果镇楚南桥社区等4个社区成功入围全国示范性老年友好型社区。衡阳市第五人民医院荣获湖南省老年友善医疗机构。南华附三医院获得湖南省老年护理专业委员会科普大赛二等奖。加快婴幼儿照护服务发展，将新增1万个托位纳入市级民生实事，全年共新增托位11192个，常住人口每千人拥有托位数达到3.5个，超额完成省定任务。常宁市成功创建首批省级儿童健康综合发展示范县。高新区成功创建1家省级示范托育机构。</w:t>
      </w:r>
    </w:p>
    <w:p w14:paraId="73C542C9">
      <w:pPr>
        <w:ind w:firstLine="643" w:firstLineChars="200"/>
        <w:rPr>
          <w:rFonts w:hint="eastAsia" w:ascii="仿宋_GB2312" w:eastAsia="仿宋_GB2312"/>
          <w:sz w:val="32"/>
          <w:szCs w:val="32"/>
        </w:rPr>
      </w:pPr>
      <w:r>
        <w:rPr>
          <w:rFonts w:hint="eastAsia" w:ascii="仿宋_GB2312" w:eastAsia="仿宋_GB2312"/>
          <w:b/>
          <w:sz w:val="32"/>
          <w:szCs w:val="32"/>
        </w:rPr>
        <w:t>（五）干部人才队伍活力迸发。一是持续加强干部管理。</w:t>
      </w:r>
      <w:r>
        <w:rPr>
          <w:rFonts w:hint="eastAsia" w:ascii="仿宋_GB2312" w:eastAsia="仿宋_GB2312"/>
          <w:sz w:val="32"/>
          <w:szCs w:val="32"/>
        </w:rPr>
        <w:t>配合市委组织部做好市管干部选拔任用工作，加大本系统干部培训力度。开展“四类干部”摸底，制定《年轻干部培养使用方案》，建立年轻干部管理台账。领导干部所任兼职全部清理规范到位。</w:t>
      </w:r>
      <w:r>
        <w:rPr>
          <w:rFonts w:hint="eastAsia" w:ascii="仿宋_GB2312" w:eastAsia="仿宋_GB2312"/>
          <w:b/>
          <w:sz w:val="32"/>
          <w:szCs w:val="32"/>
        </w:rPr>
        <w:t>二是持续强化人才支撑。</w:t>
      </w:r>
      <w:r>
        <w:rPr>
          <w:rFonts w:hint="eastAsia" w:ascii="仿宋_GB2312" w:eastAsia="仿宋_GB2312"/>
          <w:sz w:val="32"/>
          <w:szCs w:val="32"/>
        </w:rPr>
        <w:t>开展急需紧缺专业技术人才引进工作，共引进123人，招聘综合类工作人员42人。推荐优秀人才享受省政府特殊津贴和参评全省高层次人才，在全市率先出台《衡阳市卫生健康优秀骨干人才支持项目实施办法》。</w:t>
      </w:r>
      <w:r>
        <w:rPr>
          <w:rFonts w:hint="eastAsia" w:ascii="仿宋_GB2312" w:eastAsia="仿宋_GB2312"/>
          <w:b/>
          <w:sz w:val="32"/>
          <w:szCs w:val="32"/>
        </w:rPr>
        <w:t>三是持续优化职称评审。</w:t>
      </w:r>
      <w:r>
        <w:rPr>
          <w:rFonts w:hint="eastAsia" w:ascii="仿宋_GB2312" w:eastAsia="仿宋_GB2312"/>
          <w:sz w:val="32"/>
          <w:szCs w:val="32"/>
        </w:rPr>
        <w:t>充分考虑艰苦边远地区和基层一线情况，降低门槛，不作论文、计算机、外语等要求，公平公正开展职称评审工作。完成省卫高1223人理论报名、初审和报送工作，基卫高自主评审通过126人，考工定级考核通过98人。四是持续激发队伍活力。会同财政、编制、人社部门出台进一步关心关爱医务人员相关文件，从核增一次性绩效工资总量、落实职业发展倾斜政策、提高评优奖励比例、维护医务人员职业安全等方面加大支持，有力调动广大医务人员积极性、主动性。</w:t>
      </w:r>
    </w:p>
    <w:p w14:paraId="18FC0CC1">
      <w:pPr>
        <w:ind w:firstLine="643" w:firstLineChars="200"/>
        <w:rPr>
          <w:rFonts w:hint="eastAsia" w:ascii="仿宋_GB2312" w:eastAsia="仿宋_GB2312"/>
          <w:sz w:val="32"/>
          <w:szCs w:val="32"/>
        </w:rPr>
      </w:pPr>
      <w:r>
        <w:rPr>
          <w:rFonts w:hint="eastAsia" w:ascii="仿宋_GB2312" w:eastAsia="仿宋_GB2312"/>
          <w:b/>
          <w:sz w:val="32"/>
          <w:szCs w:val="32"/>
        </w:rPr>
        <w:t>（六）党建和党风廉政建设全面加强</w:t>
      </w:r>
      <w:r>
        <w:rPr>
          <w:rFonts w:hint="eastAsia" w:ascii="仿宋_GB2312" w:eastAsia="仿宋_GB2312"/>
          <w:sz w:val="32"/>
          <w:szCs w:val="32"/>
        </w:rPr>
        <w:t>。一是以上率下，扛牢“第一责任”。专题研究部署基层党建工作13次，严格落实基层党组织书记“双述双评”，督促指导市直医疗卫生单位推进“党的一切工作到支部”。扎实开展主题教育，高标准举行专题读书班和研讨交流。深入开展“走找想促”活动，组织调研249次，推动解决基层群众看病就医方面的急难愁盼问题375个。</w:t>
      </w:r>
      <w:r>
        <w:rPr>
          <w:rFonts w:hint="eastAsia" w:ascii="仿宋_GB2312" w:eastAsia="仿宋_GB2312"/>
          <w:b/>
          <w:sz w:val="32"/>
          <w:szCs w:val="32"/>
        </w:rPr>
        <w:t>二是夯实基础，打造“第一方阵”。</w:t>
      </w:r>
      <w:r>
        <w:rPr>
          <w:rFonts w:hint="eastAsia" w:ascii="仿宋_GB2312" w:eastAsia="仿宋_GB2312"/>
          <w:sz w:val="32"/>
          <w:szCs w:val="32"/>
        </w:rPr>
        <w:t>组织党员干部开展“我为群众办实事”389次，帮扶群众3.19万人次。培训党务骨干120人、党员2426人次，44名高层次人才成为党员发展重点对象。不断提高“两个覆盖”质效，衡阳市妇幼保健院儿童保健党支部获评全国公立医院临床科室标杆党支部。</w:t>
      </w:r>
      <w:r>
        <w:rPr>
          <w:rFonts w:hint="eastAsia" w:ascii="仿宋_GB2312" w:eastAsia="仿宋_GB2312"/>
          <w:b/>
          <w:sz w:val="32"/>
          <w:szCs w:val="32"/>
        </w:rPr>
        <w:t>三是清风正气，树好“第一形象”。</w:t>
      </w:r>
      <w:r>
        <w:rPr>
          <w:rFonts w:hint="eastAsia" w:ascii="仿宋_GB2312" w:eastAsia="仿宋_GB2312"/>
          <w:sz w:val="32"/>
          <w:szCs w:val="32"/>
        </w:rPr>
        <w:t>8次召开全面从严治党、集中整治工作会，组织市直卫健系统开展廉政主题党日活动52次，落实廉政谈话397人次，签订《廉洁从业承诺书》5000余人。切实运用好制度“补丁”机制，新建和完善相关制度。切实转变工作作风，大力践行社会主义核心价值观，弘扬救死扶伤的职业精神，加强经验典型、先进人物的选树和推广，发挥示范带动作用，努力营造尊医重卫社会氛围。</w:t>
      </w:r>
    </w:p>
    <w:p w14:paraId="39255E2C">
      <w:pPr>
        <w:ind w:firstLine="643" w:firstLineChars="200"/>
        <w:rPr>
          <w:rFonts w:ascii="仿宋_GB2312" w:eastAsia="仿宋_GB2312"/>
          <w:sz w:val="32"/>
          <w:szCs w:val="32"/>
        </w:rPr>
      </w:pPr>
      <w:r>
        <w:rPr>
          <w:rFonts w:hint="eastAsia" w:ascii="仿宋_GB2312" w:eastAsia="仿宋_GB2312"/>
          <w:b/>
          <w:sz w:val="32"/>
          <w:szCs w:val="32"/>
        </w:rPr>
        <w:t>（七）安全底线筑实筑牢。一是全力以赴抓好安全生产。</w:t>
      </w:r>
      <w:r>
        <w:rPr>
          <w:rFonts w:hint="eastAsia" w:ascii="仿宋_GB2312" w:eastAsia="仿宋_GB2312"/>
          <w:sz w:val="32"/>
          <w:szCs w:val="32"/>
        </w:rPr>
        <w:t>全面落实“五全一常态”机制要求，组织全系统开展10轮全面排查整治，交办和整改问题隐患2000余处。率先出台《衡阳市医疗机构（医养结合机构）消防安全断然措施》《衡阳市医疗卫生机构动火作业规范》等系列文件。为医疗机构聘请消防安全指导员，深入开展安全生产百日攻坚行动、重大事故隐患专项排查整治2023行动和房屋建筑、燃气安全专项整治等，坚决打好安全生产翻身仗。衡阳市干部疗养院把家属区列入属地老旧小区改造项目，全面改善房屋建筑安全。雁峰区生物实验室备案工作做法在全市推广。</w:t>
      </w:r>
      <w:r>
        <w:rPr>
          <w:rFonts w:hint="eastAsia" w:ascii="仿宋_GB2312" w:eastAsia="仿宋_GB2312"/>
          <w:b/>
          <w:sz w:val="32"/>
          <w:szCs w:val="32"/>
        </w:rPr>
        <w:t>二是积极推进信访矛盾化解。</w:t>
      </w:r>
      <w:r>
        <w:rPr>
          <w:rFonts w:hint="eastAsia" w:ascii="仿宋_GB2312" w:eastAsia="仿宋_GB2312"/>
          <w:sz w:val="32"/>
          <w:szCs w:val="32"/>
        </w:rPr>
        <w:t>大力弘扬“四下基层”优良作风，认真落实“五步一规范”要求，建立健全行政部门和医院领导干部常态化接访、带案下访和包案化解机制，探索建立医疗卫生机构矛盾风险预警和分级处置工作机制，涉医信访量持续下降。</w:t>
      </w:r>
      <w:r>
        <w:rPr>
          <w:rFonts w:hint="eastAsia" w:ascii="仿宋_GB2312" w:eastAsia="仿宋_GB2312"/>
          <w:b/>
          <w:sz w:val="32"/>
          <w:szCs w:val="32"/>
        </w:rPr>
        <w:t>三是持续深入抓好平安建设。</w:t>
      </w:r>
      <w:r>
        <w:rPr>
          <w:rFonts w:hint="eastAsia" w:ascii="仿宋_GB2312" w:eastAsia="仿宋_GB2312"/>
          <w:sz w:val="32"/>
          <w:szCs w:val="32"/>
        </w:rPr>
        <w:t>健全医疗安全管理组织和相关预案，强化“三防”“四室”建设。市、县两级医疗纠纷调解中心配备调解员178人，调解医疗纠纷115件，调解成功率为96.5%。</w:t>
      </w:r>
      <w:r>
        <w:rPr>
          <w:rFonts w:hint="eastAsia" w:ascii="仿宋_GB2312" w:eastAsia="仿宋_GB2312"/>
          <w:b/>
          <w:sz w:val="32"/>
          <w:szCs w:val="32"/>
        </w:rPr>
        <w:t>四是不断强化医疗质量管理。</w:t>
      </w:r>
      <w:r>
        <w:rPr>
          <w:rFonts w:hint="eastAsia" w:ascii="仿宋_GB2312" w:eastAsia="仿宋_GB2312"/>
          <w:sz w:val="32"/>
          <w:szCs w:val="32"/>
        </w:rPr>
        <w:t>规范危急重症收治流程，组织开展死亡病例质控抽查复审，全市二级以上医疗机构患者可避免死亡率同比下降10个百分点。</w:t>
      </w:r>
      <w:r>
        <w:rPr>
          <w:rFonts w:hint="eastAsia" w:ascii="仿宋_GB2312" w:eastAsia="仿宋_GB2312"/>
          <w:b/>
          <w:sz w:val="32"/>
          <w:szCs w:val="32"/>
        </w:rPr>
        <w:t>五是着力防范医疗机构运营风险。</w:t>
      </w:r>
      <w:r>
        <w:rPr>
          <w:rFonts w:hint="eastAsia" w:ascii="仿宋_GB2312" w:eastAsia="仿宋_GB2312"/>
          <w:sz w:val="32"/>
          <w:szCs w:val="32"/>
        </w:rPr>
        <w:t>开展“公立医院经济管理年”活动，加强医疗机构债务和运营情况调研，积极防范化解债务风险。</w:t>
      </w:r>
      <w:r>
        <w:rPr>
          <w:rFonts w:hint="eastAsia" w:ascii="仿宋_GB2312" w:eastAsia="仿宋_GB2312"/>
          <w:b/>
          <w:sz w:val="32"/>
          <w:szCs w:val="32"/>
        </w:rPr>
        <w:t>六是有力有效抓好意识形态工作。</w:t>
      </w:r>
      <w:r>
        <w:rPr>
          <w:rFonts w:hint="eastAsia" w:ascii="仿宋_GB2312" w:eastAsia="仿宋_GB2312"/>
          <w:sz w:val="32"/>
          <w:szCs w:val="32"/>
        </w:rPr>
        <w:t xml:space="preserve">组织开展“第一议题”学习18次、委党组理论学习中心组学习16次，加强宣传阵地管理，组织完善《意识形态工作分析研判制度》《重大舆情应急处置机制》等制度，全系统没有出现较大的负面舆情。  </w:t>
      </w:r>
      <w:r>
        <w:rPr>
          <w:rFonts w:hint="eastAsia"/>
        </w:rPr>
        <w:t xml:space="preserve">    </w:t>
      </w:r>
    </w:p>
    <w:p w14:paraId="3C7199BE">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黑体" w:eastAsia="黑体"/>
          <w:b/>
          <w:sz w:val="32"/>
          <w:szCs w:val="32"/>
        </w:rPr>
        <w:t>七、存在的问题及原因分析</w:t>
      </w:r>
      <w:r>
        <w:rPr>
          <w:rFonts w:hint="eastAsia" w:ascii="Times New Roman" w:hAnsi="Times New Roman" w:eastAsia="仿宋_GB2312"/>
          <w:color w:val="000000"/>
          <w:sz w:val="32"/>
          <w:szCs w:val="32"/>
        </w:rPr>
        <w:t xml:space="preserve"> </w:t>
      </w:r>
    </w:p>
    <w:p w14:paraId="3CF4669A">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仿宋_GB2312" w:eastAsia="仿宋_GB2312"/>
          <w:b/>
          <w:sz w:val="32"/>
          <w:szCs w:val="32"/>
        </w:rPr>
        <w:t>（一）部分支出无预算。</w:t>
      </w:r>
      <w:r>
        <w:rPr>
          <w:rFonts w:hint="eastAsia" w:ascii="仿宋_GB2312" w:eastAsia="仿宋_GB2312"/>
          <w:sz w:val="32"/>
          <w:szCs w:val="32"/>
        </w:rPr>
        <w:t>2023年，财政实行全口径预算，各项支出必须严格按照经济科目支付，在实际支付过程中，部分项目由于年初未安排预算，导致不能及时支付，如</w:t>
      </w:r>
      <w:r>
        <w:rPr>
          <w:rFonts w:hint="eastAsia" w:ascii="仿宋_GB2312" w:eastAsia="仿宋_GB2312"/>
          <w:sz w:val="32"/>
          <w:szCs w:val="32"/>
          <w:lang w:eastAsia="zh-CN"/>
        </w:rPr>
        <w:t>乡村振兴</w:t>
      </w:r>
      <w:r>
        <w:rPr>
          <w:rFonts w:hint="eastAsia" w:ascii="仿宋_GB2312" w:eastAsia="仿宋_GB2312"/>
          <w:sz w:val="32"/>
          <w:szCs w:val="32"/>
        </w:rPr>
        <w:t>帮扶经费、驻村队员差旅费、离退休人员独生子女父母奖励金等。</w:t>
      </w:r>
    </w:p>
    <w:p w14:paraId="470A1FD5">
      <w:pPr>
        <w:pBdr>
          <w:bottom w:val="single" w:color="FFFFFF" w:sz="4" w:space="31"/>
        </w:pBdr>
        <w:tabs>
          <w:tab w:val="left" w:pos="1440"/>
        </w:tabs>
        <w:overflowPunct w:val="0"/>
        <w:snapToGrid w:val="0"/>
        <w:spacing w:line="600" w:lineRule="exact"/>
        <w:ind w:firstLine="640"/>
        <w:rPr>
          <w:rFonts w:hint="eastAsia" w:ascii="仿宋_GB2312" w:eastAsia="仿宋_GB2312"/>
          <w:sz w:val="32"/>
          <w:szCs w:val="32"/>
        </w:rPr>
      </w:pPr>
      <w:r>
        <w:rPr>
          <w:rFonts w:hint="eastAsia" w:ascii="仿宋_GB2312" w:eastAsia="仿宋_GB2312"/>
          <w:b/>
          <w:sz w:val="32"/>
          <w:szCs w:val="32"/>
        </w:rPr>
        <w:t>（二）预算执行进度慢。</w:t>
      </w:r>
      <w:r>
        <w:rPr>
          <w:rFonts w:hint="eastAsia" w:ascii="仿宋_GB2312" w:eastAsia="仿宋_GB2312"/>
          <w:sz w:val="32"/>
          <w:szCs w:val="32"/>
        </w:rPr>
        <w:t>我单位每年承担卫生专业技术职称、医师资格等考试，考务费用由省下拨非税收入列支，由于省下拨非税收入慢、非税、预算下拨指标迟缓等原因，在考试结束后很长时间不能下拨经费，导致我委不能及时结算考试开支。</w:t>
      </w:r>
    </w:p>
    <w:p w14:paraId="5836E38D">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黑体" w:hAnsi="Times New Roman" w:eastAsia="黑体"/>
          <w:b/>
          <w:sz w:val="32"/>
          <w:szCs w:val="32"/>
        </w:rPr>
        <w:t>八、下一步改进措施</w:t>
      </w:r>
    </w:p>
    <w:p w14:paraId="2BC981B8">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仿宋_GB2312" w:eastAsia="仿宋_GB2312"/>
          <w:sz w:val="32"/>
          <w:szCs w:val="32"/>
        </w:rPr>
        <w:t>（一）合理编制单位预算。积极协调财政部门，合理编制单位年度预算，编足公用经费预算，满足乡村振兴等经费开支。</w:t>
      </w:r>
    </w:p>
    <w:p w14:paraId="3E91589D">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仿宋_GB2312" w:eastAsia="仿宋_GB2312"/>
          <w:sz w:val="32"/>
          <w:szCs w:val="32"/>
        </w:rPr>
        <w:t>（二）加快预算支出进度。协调省级部门，及时下拨非税返还收入，确保考试开支及时结算。</w:t>
      </w:r>
    </w:p>
    <w:p w14:paraId="3F6B30C1">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黑体" w:eastAsia="黑体"/>
          <w:b/>
          <w:sz w:val="32"/>
          <w:szCs w:val="32"/>
        </w:rPr>
        <w:t>九、其他需要说明的情况</w:t>
      </w:r>
    </w:p>
    <w:p w14:paraId="0CB0108A">
      <w:pPr>
        <w:pBdr>
          <w:bottom w:val="single" w:color="FFFFFF" w:sz="4" w:space="31"/>
        </w:pBdr>
        <w:tabs>
          <w:tab w:val="left" w:pos="1440"/>
        </w:tabs>
        <w:overflowPunct w:val="0"/>
        <w:snapToGrid w:val="0"/>
        <w:spacing w:line="600" w:lineRule="exact"/>
        <w:ind w:firstLine="640"/>
        <w:rPr>
          <w:rFonts w:ascii="Times New Roman" w:hAnsi="Times New Roman" w:eastAsia="仿宋_GB2312"/>
          <w:color w:val="000000"/>
          <w:sz w:val="32"/>
          <w:szCs w:val="32"/>
        </w:rPr>
      </w:pPr>
      <w:r>
        <w:rPr>
          <w:rFonts w:hint="eastAsia" w:ascii="黑体" w:eastAsia="黑体"/>
          <w:b/>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黑体">
    <w:altName w:val="黑体"/>
    <w:panose1 w:val="00000000000000000000"/>
    <w:charset w:val="86"/>
    <w:family w:val="auto"/>
    <w:pitch w:val="default"/>
    <w:sig w:usb0="00000000" w:usb1="00000000" w:usb2="0002005F" w:usb3="00000000" w:csb0="001600D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iNzE2N2NhMWM4ODI0YjE2MTJhMjliMTI3MjI0YTMifQ=="/>
  </w:docVars>
  <w:rsids>
    <w:rsidRoot w:val="00856AA8"/>
    <w:rsid w:val="00000E35"/>
    <w:rsid w:val="00010D6A"/>
    <w:rsid w:val="00021C96"/>
    <w:rsid w:val="000825BC"/>
    <w:rsid w:val="0009336E"/>
    <w:rsid w:val="000D2101"/>
    <w:rsid w:val="000D309B"/>
    <w:rsid w:val="000F3134"/>
    <w:rsid w:val="000F61E3"/>
    <w:rsid w:val="000F626D"/>
    <w:rsid w:val="001A014E"/>
    <w:rsid w:val="001B79E5"/>
    <w:rsid w:val="001C6D31"/>
    <w:rsid w:val="001D149A"/>
    <w:rsid w:val="001D2F9C"/>
    <w:rsid w:val="001F6E17"/>
    <w:rsid w:val="001F7D80"/>
    <w:rsid w:val="00210050"/>
    <w:rsid w:val="00214686"/>
    <w:rsid w:val="0022373E"/>
    <w:rsid w:val="002B24BB"/>
    <w:rsid w:val="002B43B3"/>
    <w:rsid w:val="002C4B75"/>
    <w:rsid w:val="002E09D2"/>
    <w:rsid w:val="0031612E"/>
    <w:rsid w:val="0035373D"/>
    <w:rsid w:val="003818AA"/>
    <w:rsid w:val="003F776B"/>
    <w:rsid w:val="0040120E"/>
    <w:rsid w:val="00412812"/>
    <w:rsid w:val="005409E3"/>
    <w:rsid w:val="00585A24"/>
    <w:rsid w:val="00587081"/>
    <w:rsid w:val="005A0467"/>
    <w:rsid w:val="005B7CD3"/>
    <w:rsid w:val="005E78B8"/>
    <w:rsid w:val="005F2780"/>
    <w:rsid w:val="005F38B8"/>
    <w:rsid w:val="00601704"/>
    <w:rsid w:val="00613035"/>
    <w:rsid w:val="006C6791"/>
    <w:rsid w:val="006E5D96"/>
    <w:rsid w:val="007A18D7"/>
    <w:rsid w:val="007B7F0B"/>
    <w:rsid w:val="007E7498"/>
    <w:rsid w:val="00856AA8"/>
    <w:rsid w:val="00874AA1"/>
    <w:rsid w:val="00877D94"/>
    <w:rsid w:val="008C2F99"/>
    <w:rsid w:val="008D105E"/>
    <w:rsid w:val="008E4783"/>
    <w:rsid w:val="008F202E"/>
    <w:rsid w:val="00902665"/>
    <w:rsid w:val="009136D4"/>
    <w:rsid w:val="009171C2"/>
    <w:rsid w:val="00955799"/>
    <w:rsid w:val="00996F3F"/>
    <w:rsid w:val="009B0111"/>
    <w:rsid w:val="009B247F"/>
    <w:rsid w:val="009F73B7"/>
    <w:rsid w:val="00A56672"/>
    <w:rsid w:val="00A71213"/>
    <w:rsid w:val="00AA2088"/>
    <w:rsid w:val="00AD6CBA"/>
    <w:rsid w:val="00AD76A2"/>
    <w:rsid w:val="00AE23BC"/>
    <w:rsid w:val="00B22B73"/>
    <w:rsid w:val="00B34974"/>
    <w:rsid w:val="00BF3392"/>
    <w:rsid w:val="00C27CF7"/>
    <w:rsid w:val="00C43DA7"/>
    <w:rsid w:val="00C6315C"/>
    <w:rsid w:val="00CE7251"/>
    <w:rsid w:val="00D133A8"/>
    <w:rsid w:val="00D75E7A"/>
    <w:rsid w:val="00D77986"/>
    <w:rsid w:val="00D8772C"/>
    <w:rsid w:val="00DA56F7"/>
    <w:rsid w:val="00DC7EF3"/>
    <w:rsid w:val="00E30384"/>
    <w:rsid w:val="00E54D15"/>
    <w:rsid w:val="00E81786"/>
    <w:rsid w:val="00EA2326"/>
    <w:rsid w:val="00EA385A"/>
    <w:rsid w:val="00EB3EC6"/>
    <w:rsid w:val="00EB4853"/>
    <w:rsid w:val="00EB5F18"/>
    <w:rsid w:val="00F625BA"/>
    <w:rsid w:val="00F83E7E"/>
    <w:rsid w:val="00FB3D87"/>
    <w:rsid w:val="00FE0E47"/>
    <w:rsid w:val="00FE4632"/>
    <w:rsid w:val="3B5FC617"/>
    <w:rsid w:val="3BB27261"/>
    <w:rsid w:val="5FF3FBBF"/>
    <w:rsid w:val="7C1F940C"/>
    <w:rsid w:val="7FFE0B6D"/>
    <w:rsid w:val="BA7B23C6"/>
    <w:rsid w:val="BF5FA53A"/>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rPr>
      <w:rFonts w:ascii="Times New Roman" w:hAnsi="Times New Roman"/>
      <w:szCs w:val="24"/>
    </w:rPr>
  </w:style>
  <w:style w:type="character" w:customStyle="1" w:styleId="10">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13</Pages>
  <Words>5968</Words>
  <Characters>6300</Characters>
  <Lines>44</Lines>
  <Paragraphs>12</Paragraphs>
  <TotalTime>15</TotalTime>
  <ScaleCrop>false</ScaleCrop>
  <LinksUpToDate>false</LinksUpToDate>
  <CharactersWithSpaces>6346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2023-03-27T23:07:00Z</dcterms:created>
  <dc:creator>Sky123.Org</dc:creator>
  <cp:lastModifiedBy>邓婷</cp:lastModifiedBy>
  <cp:lastPrinted>2024-04-08T03:35:00Z</cp:lastPrinted>
  <dcterms:modified xsi:type="dcterms:W3CDTF">2024-10-08T06:38:52Z</dcterms:modified>
  <cp:revision>251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FECB84D185A049D180079FCD27CC9C48_12</vt:lpwstr>
  </property>
</Properties>
</file>