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C5EB0">
      <w:pPr>
        <w:pStyle w:val="7"/>
        <w:adjustRightInd w:val="0"/>
        <w:snapToGrid w:val="0"/>
        <w:spacing w:before="0" w:after="0" w:line="560" w:lineRule="exact"/>
        <w:rPr>
          <w:rFonts w:ascii="方正小标宋简体" w:eastAsia="方正小标宋简体" w:cs="Times New Roman"/>
          <w:sz w:val="44"/>
          <w:szCs w:val="44"/>
        </w:rPr>
      </w:pPr>
      <w:r>
        <w:rPr>
          <w:rFonts w:hint="eastAsia" w:ascii="方正小标宋简体" w:eastAsia="方正小标宋简体" w:cs="方正小标宋简体"/>
          <w:sz w:val="44"/>
          <w:szCs w:val="44"/>
        </w:rPr>
        <w:t>市科技局</w:t>
      </w:r>
      <w:r>
        <w:rPr>
          <w:rFonts w:ascii="方正小标宋简体" w:eastAsia="方正小标宋简体" w:cs="方正小标宋简体"/>
          <w:sz w:val="44"/>
          <w:szCs w:val="44"/>
        </w:rPr>
        <w:t>20</w:t>
      </w:r>
      <w:r>
        <w:rPr>
          <w:rFonts w:hint="eastAsia" w:ascii="方正小标宋简体" w:eastAsia="方正小标宋简体" w:cs="方正小标宋简体"/>
          <w:sz w:val="44"/>
          <w:szCs w:val="44"/>
        </w:rPr>
        <w:t>22年度预算支出绩效评价报告</w:t>
      </w:r>
    </w:p>
    <w:p w14:paraId="5598E521">
      <w:pPr>
        <w:adjustRightInd w:val="0"/>
        <w:snapToGrid w:val="0"/>
        <w:spacing w:line="560" w:lineRule="exact"/>
        <w:jc w:val="left"/>
      </w:pPr>
    </w:p>
    <w:p w14:paraId="0859EE3F">
      <w:pPr>
        <w:widowControl/>
        <w:shd w:val="clear" w:color="auto" w:fill="FFFFFF"/>
        <w:spacing w:line="64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    </w:t>
      </w:r>
      <w:r>
        <w:rPr>
          <w:rFonts w:eastAsia="仿宋"/>
          <w:color w:val="000000"/>
          <w:kern w:val="0"/>
          <w:sz w:val="32"/>
          <w:szCs w:val="32"/>
        </w:rPr>
        <w:t>按照《衡阳市财政局关于开展202</w:t>
      </w:r>
      <w:r>
        <w:rPr>
          <w:rFonts w:hint="eastAsia" w:eastAsia="仿宋"/>
          <w:color w:val="000000"/>
          <w:kern w:val="0"/>
          <w:sz w:val="32"/>
          <w:szCs w:val="32"/>
        </w:rPr>
        <w:t>2</w:t>
      </w:r>
      <w:r>
        <w:rPr>
          <w:rFonts w:eastAsia="仿宋"/>
          <w:color w:val="000000"/>
          <w:kern w:val="0"/>
          <w:sz w:val="32"/>
          <w:szCs w:val="32"/>
        </w:rPr>
        <w:t>年度预算支出绩效自评工作的通知》要求</w:t>
      </w:r>
      <w:r>
        <w:rPr>
          <w:rFonts w:hint="eastAsia" w:ascii="仿宋" w:hAnsi="仿宋" w:eastAsia="仿宋" w:cs="仿宋"/>
          <w:kern w:val="0"/>
          <w:sz w:val="32"/>
          <w:szCs w:val="32"/>
        </w:rPr>
        <w:t>，我局对</w:t>
      </w:r>
      <w:r>
        <w:rPr>
          <w:rFonts w:ascii="仿宋" w:hAnsi="仿宋" w:eastAsia="仿宋" w:cs="仿宋"/>
          <w:kern w:val="0"/>
          <w:sz w:val="32"/>
          <w:szCs w:val="32"/>
        </w:rPr>
        <w:t>20</w:t>
      </w:r>
      <w:r>
        <w:rPr>
          <w:rFonts w:hint="eastAsia" w:ascii="仿宋" w:hAnsi="仿宋" w:eastAsia="仿宋" w:cs="仿宋"/>
          <w:kern w:val="0"/>
          <w:sz w:val="32"/>
          <w:szCs w:val="32"/>
        </w:rPr>
        <w:t>22年度部门整体绩效支出(</w:t>
      </w:r>
      <w:r>
        <w:rPr>
          <w:rFonts w:ascii="仿宋" w:hAnsi="仿宋" w:eastAsia="仿宋" w:cs="仿宋"/>
          <w:kern w:val="0"/>
          <w:sz w:val="32"/>
          <w:szCs w:val="32"/>
        </w:rPr>
        <w:t>涉及一般公共预算</w:t>
      </w:r>
      <w:r>
        <w:rPr>
          <w:rFonts w:hint="eastAsia" w:ascii="仿宋" w:hAnsi="仿宋" w:eastAsia="仿宋" w:cs="仿宋"/>
          <w:kern w:val="0"/>
          <w:sz w:val="32"/>
          <w:szCs w:val="32"/>
        </w:rPr>
        <w:t>2013.73</w:t>
      </w:r>
      <w:r>
        <w:rPr>
          <w:rFonts w:ascii="仿宋" w:hAnsi="仿宋" w:eastAsia="仿宋" w:cs="仿宋"/>
          <w:kern w:val="0"/>
          <w:sz w:val="32"/>
          <w:szCs w:val="32"/>
        </w:rPr>
        <w:t>万元</w:t>
      </w:r>
      <w:r>
        <w:rPr>
          <w:rFonts w:hint="eastAsia" w:ascii="仿宋" w:hAnsi="仿宋" w:eastAsia="仿宋" w:cs="仿宋"/>
          <w:kern w:val="0"/>
          <w:sz w:val="32"/>
          <w:szCs w:val="32"/>
        </w:rPr>
        <w:t>,占2022年度支出总额98.18%）。</w:t>
      </w:r>
    </w:p>
    <w:p w14:paraId="1E4EDD9F">
      <w:pPr>
        <w:adjustRightInd w:val="0"/>
        <w:snapToGrid w:val="0"/>
        <w:spacing w:line="56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rPr>
        <w:t>一、2022度部门整体支出</w:t>
      </w:r>
    </w:p>
    <w:p w14:paraId="02219814">
      <w:pPr>
        <w:adjustRightInd w:val="0"/>
        <w:snapToGrid w:val="0"/>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（一）部门概况</w:t>
      </w:r>
    </w:p>
    <w:p w14:paraId="53EA9BF7">
      <w:pPr>
        <w:adjustRightInd w:val="0"/>
        <w:snapToGrid w:val="0"/>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1.部门职能概述。根据《中共湖南省委办公厅湖南省人民政府办公厅关于印发〈衡阳市机构改革方案〉的通知》（湘办〔2018〕</w:t>
      </w:r>
      <w:r>
        <w:rPr>
          <w:rFonts w:ascii="仿宋" w:hAnsi="仿宋" w:eastAsia="仿宋" w:cs="仿宋"/>
          <w:kern w:val="0"/>
          <w:sz w:val="32"/>
          <w:szCs w:val="32"/>
        </w:rPr>
        <w:t>59</w:t>
      </w:r>
      <w:r>
        <w:rPr>
          <w:rFonts w:hint="eastAsia" w:ascii="仿宋" w:hAnsi="仿宋" w:eastAsia="仿宋" w:cs="仿宋"/>
          <w:kern w:val="0"/>
          <w:sz w:val="32"/>
          <w:szCs w:val="32"/>
        </w:rPr>
        <w:t>号）文件精神，我局主要职责包括：贯彻创新驱动发展战略和创新引领开放崛起战略，</w:t>
      </w:r>
      <w:r>
        <w:rPr>
          <w:rFonts w:ascii="仿宋" w:hAnsi="仿宋" w:eastAsia="仿宋" w:cs="仿宋"/>
          <w:kern w:val="0"/>
          <w:sz w:val="32"/>
          <w:szCs w:val="32"/>
        </w:rPr>
        <w:t>拟订</w:t>
      </w:r>
      <w:r>
        <w:rPr>
          <w:rFonts w:hint="eastAsia" w:ascii="仿宋" w:hAnsi="仿宋" w:eastAsia="仿宋" w:cs="仿宋"/>
          <w:kern w:val="0"/>
          <w:sz w:val="32"/>
          <w:szCs w:val="32"/>
        </w:rPr>
        <w:t>全市</w:t>
      </w:r>
      <w:r>
        <w:rPr>
          <w:rFonts w:ascii="仿宋" w:hAnsi="仿宋" w:eastAsia="仿宋" w:cs="仿宋"/>
          <w:kern w:val="0"/>
          <w:sz w:val="32"/>
          <w:szCs w:val="32"/>
        </w:rPr>
        <w:t>科技发展、引进国外</w:t>
      </w:r>
      <w:r>
        <w:rPr>
          <w:rFonts w:hint="eastAsia" w:ascii="仿宋" w:hAnsi="仿宋" w:eastAsia="仿宋" w:cs="仿宋"/>
          <w:kern w:val="0"/>
          <w:sz w:val="32"/>
          <w:szCs w:val="32"/>
        </w:rPr>
        <w:t>及国内</w:t>
      </w:r>
      <w:r>
        <w:rPr>
          <w:rFonts w:ascii="仿宋" w:hAnsi="仿宋" w:eastAsia="仿宋" w:cs="仿宋"/>
          <w:kern w:val="0"/>
          <w:sz w:val="32"/>
          <w:szCs w:val="32"/>
        </w:rPr>
        <w:t>智力规划和政策并组织实施。</w:t>
      </w:r>
      <w:r>
        <w:rPr>
          <w:rFonts w:hint="eastAsia" w:ascii="仿宋" w:hAnsi="仿宋" w:eastAsia="仿宋" w:cs="仿宋"/>
          <w:kern w:val="0"/>
          <w:sz w:val="32"/>
          <w:szCs w:val="32"/>
        </w:rPr>
        <w:t>统筹推进全</w:t>
      </w:r>
      <w:bookmarkStart w:id="0" w:name="_GoBack"/>
      <w:bookmarkEnd w:id="0"/>
      <w:r>
        <w:rPr>
          <w:rFonts w:hint="eastAsia" w:ascii="仿宋" w:hAnsi="仿宋" w:eastAsia="仿宋" w:cs="仿宋"/>
          <w:kern w:val="0"/>
          <w:sz w:val="32"/>
          <w:szCs w:val="32"/>
        </w:rPr>
        <w:t>市创新体系建设和科技体制改革，</w:t>
      </w:r>
      <w:r>
        <w:rPr>
          <w:rFonts w:ascii="仿宋" w:hAnsi="仿宋" w:eastAsia="仿宋" w:cs="仿宋"/>
          <w:kern w:val="0"/>
          <w:sz w:val="32"/>
          <w:szCs w:val="32"/>
        </w:rPr>
        <w:t>会同有关部门健全技术创新激励机制</w:t>
      </w:r>
      <w:r>
        <w:rPr>
          <w:rFonts w:hint="eastAsia" w:ascii="仿宋" w:hAnsi="仿宋" w:eastAsia="仿宋" w:cs="仿宋"/>
          <w:kern w:val="0"/>
          <w:sz w:val="32"/>
          <w:szCs w:val="32"/>
        </w:rPr>
        <w:t>。</w:t>
      </w:r>
      <w:r>
        <w:rPr>
          <w:rFonts w:ascii="仿宋" w:hAnsi="仿宋" w:eastAsia="仿宋" w:cs="仿宋"/>
          <w:kern w:val="0"/>
          <w:sz w:val="32"/>
          <w:szCs w:val="32"/>
        </w:rPr>
        <w:t>指导科研机构改革发展，推动企业科技创新能力建设，承担推进科技军民融合发展相关工作，推进</w:t>
      </w:r>
      <w:r>
        <w:rPr>
          <w:rFonts w:hint="eastAsia" w:ascii="仿宋" w:hAnsi="仿宋" w:eastAsia="仿宋" w:cs="仿宋"/>
          <w:kern w:val="0"/>
          <w:sz w:val="32"/>
          <w:szCs w:val="32"/>
        </w:rPr>
        <w:t>全市</w:t>
      </w:r>
      <w:r>
        <w:rPr>
          <w:rFonts w:ascii="仿宋" w:hAnsi="仿宋" w:eastAsia="仿宋" w:cs="仿宋"/>
          <w:kern w:val="0"/>
          <w:sz w:val="32"/>
          <w:szCs w:val="32"/>
        </w:rPr>
        <w:t>重大科技决策咨询制度建设</w:t>
      </w:r>
      <w:r>
        <w:rPr>
          <w:rFonts w:hint="eastAsia" w:ascii="仿宋" w:hAnsi="仿宋" w:eastAsia="仿宋" w:cs="仿宋"/>
          <w:kern w:val="0"/>
          <w:sz w:val="32"/>
          <w:szCs w:val="32"/>
        </w:rPr>
        <w:t>。拟订科学普及和科学传播规划、政策，组织实施科普计划。统筹推进国家创新型城市建设</w:t>
      </w:r>
      <w:r>
        <w:rPr>
          <w:rFonts w:ascii="仿宋" w:hAnsi="仿宋" w:eastAsia="仿宋" w:cs="仿宋"/>
          <w:kern w:val="0"/>
          <w:sz w:val="32"/>
          <w:szCs w:val="32"/>
        </w:rPr>
        <w:t>。牵头建立统一的</w:t>
      </w:r>
      <w:r>
        <w:rPr>
          <w:rFonts w:hint="eastAsia" w:ascii="仿宋" w:hAnsi="仿宋" w:eastAsia="仿宋" w:cs="仿宋"/>
          <w:kern w:val="0"/>
          <w:sz w:val="32"/>
          <w:szCs w:val="32"/>
        </w:rPr>
        <w:t>市级</w:t>
      </w:r>
      <w:r>
        <w:rPr>
          <w:rFonts w:ascii="仿宋" w:hAnsi="仿宋" w:eastAsia="仿宋" w:cs="仿宋"/>
          <w:kern w:val="0"/>
          <w:sz w:val="32"/>
          <w:szCs w:val="32"/>
        </w:rPr>
        <w:t>科技管理平台和科研项目资金协调、评估、监管机制。会同有关部门提出优化配置科技资源的政策措施建议，推动多元化科技投入体系建设，协调管理</w:t>
      </w:r>
      <w:r>
        <w:rPr>
          <w:rFonts w:hint="eastAsia" w:ascii="仿宋" w:hAnsi="仿宋" w:eastAsia="仿宋" w:cs="仿宋"/>
          <w:kern w:val="0"/>
          <w:sz w:val="32"/>
          <w:szCs w:val="32"/>
        </w:rPr>
        <w:t>市级</w:t>
      </w:r>
      <w:r>
        <w:rPr>
          <w:rFonts w:ascii="仿宋" w:hAnsi="仿宋" w:eastAsia="仿宋" w:cs="仿宋"/>
          <w:kern w:val="0"/>
          <w:sz w:val="32"/>
          <w:szCs w:val="32"/>
        </w:rPr>
        <w:t>财政科技计划（专项、基金等）并监督实施。</w:t>
      </w:r>
      <w:r>
        <w:rPr>
          <w:rFonts w:hint="eastAsia" w:ascii="仿宋" w:hAnsi="仿宋" w:eastAsia="仿宋" w:cs="仿宋"/>
          <w:kern w:val="0"/>
          <w:sz w:val="32"/>
          <w:szCs w:val="32"/>
        </w:rPr>
        <w:t>拟订全市基础研究规划、政策和标准并组织实施。组织协调市级重大基础研究和应用基础研究。拟订重大科技创新基地建设规划并监督实施，参与编制重大科技基础设施建设规划和监督实施，</w:t>
      </w:r>
      <w:r>
        <w:rPr>
          <w:rFonts w:ascii="仿宋" w:hAnsi="仿宋" w:eastAsia="仿宋" w:cs="仿宋"/>
          <w:kern w:val="0"/>
          <w:sz w:val="32"/>
          <w:szCs w:val="32"/>
        </w:rPr>
        <w:t>牵头组织</w:t>
      </w:r>
      <w:r>
        <w:rPr>
          <w:rFonts w:hint="eastAsia" w:ascii="仿宋" w:hAnsi="仿宋" w:eastAsia="仿宋" w:cs="仿宋"/>
          <w:kern w:val="0"/>
          <w:sz w:val="32"/>
          <w:szCs w:val="32"/>
        </w:rPr>
        <w:t>市重点</w:t>
      </w:r>
      <w:r>
        <w:rPr>
          <w:rFonts w:ascii="仿宋" w:hAnsi="仿宋" w:eastAsia="仿宋" w:cs="仿宋"/>
          <w:kern w:val="0"/>
          <w:sz w:val="32"/>
          <w:szCs w:val="32"/>
        </w:rPr>
        <w:t>实验室</w:t>
      </w:r>
      <w:r>
        <w:rPr>
          <w:rFonts w:hint="eastAsia" w:ascii="仿宋" w:hAnsi="仿宋" w:eastAsia="仿宋" w:cs="仿宋"/>
          <w:kern w:val="0"/>
          <w:sz w:val="32"/>
          <w:szCs w:val="32"/>
        </w:rPr>
        <w:t>等重大科技创新基地</w:t>
      </w:r>
      <w:r>
        <w:rPr>
          <w:rFonts w:ascii="仿宋" w:hAnsi="仿宋" w:eastAsia="仿宋" w:cs="仿宋"/>
          <w:kern w:val="0"/>
          <w:sz w:val="32"/>
          <w:szCs w:val="32"/>
        </w:rPr>
        <w:t>建设，推动科研条件保障建设和科技资源开放共享。编制</w:t>
      </w:r>
      <w:r>
        <w:rPr>
          <w:rFonts w:hint="eastAsia" w:ascii="仿宋" w:hAnsi="仿宋" w:eastAsia="仿宋" w:cs="仿宋"/>
          <w:kern w:val="0"/>
          <w:sz w:val="32"/>
          <w:szCs w:val="32"/>
        </w:rPr>
        <w:t>市级</w:t>
      </w:r>
      <w:r>
        <w:rPr>
          <w:rFonts w:ascii="仿宋" w:hAnsi="仿宋" w:eastAsia="仿宋" w:cs="仿宋"/>
          <w:kern w:val="0"/>
          <w:sz w:val="32"/>
          <w:szCs w:val="32"/>
        </w:rPr>
        <w:t>重大科技项目</w:t>
      </w:r>
      <w:r>
        <w:rPr>
          <w:rFonts w:hint="eastAsia" w:ascii="仿宋" w:hAnsi="仿宋" w:eastAsia="仿宋" w:cs="仿宋"/>
          <w:kern w:val="0"/>
          <w:sz w:val="32"/>
          <w:szCs w:val="32"/>
        </w:rPr>
        <w:t>计划</w:t>
      </w:r>
      <w:r>
        <w:rPr>
          <w:rFonts w:ascii="仿宋" w:hAnsi="仿宋" w:eastAsia="仿宋" w:cs="仿宋"/>
          <w:kern w:val="0"/>
          <w:sz w:val="32"/>
          <w:szCs w:val="32"/>
        </w:rPr>
        <w:t>并监督实施，统筹关键共性技术、前沿引领技术、现代工程技术、颠覆性技术研发和创新，牵头组织重大技术攻关和成果应用示范。组织拟订高新技术发展及产业化、科技促进农业农村和社会发展的规划、政策和措施。组织开展重点领域技术发展需求分析，提出重大任务并监督实施。牵头</w:t>
      </w:r>
      <w:r>
        <w:rPr>
          <w:rFonts w:hint="eastAsia" w:ascii="仿宋" w:hAnsi="仿宋" w:eastAsia="仿宋" w:cs="仿宋"/>
          <w:kern w:val="0"/>
          <w:sz w:val="32"/>
          <w:szCs w:val="32"/>
        </w:rPr>
        <w:t>市级</w:t>
      </w:r>
      <w:r>
        <w:rPr>
          <w:rFonts w:ascii="仿宋" w:hAnsi="仿宋" w:eastAsia="仿宋" w:cs="仿宋"/>
          <w:kern w:val="0"/>
          <w:sz w:val="32"/>
          <w:szCs w:val="32"/>
        </w:rPr>
        <w:t>技术转移体系建设，拟订科技成果转移转化和促进产学研结合的相关政策措施并监督实施。指导科技服务业、技术市场</w:t>
      </w:r>
      <w:r>
        <w:rPr>
          <w:rFonts w:hint="eastAsia" w:ascii="仿宋" w:hAnsi="仿宋" w:eastAsia="仿宋" w:cs="仿宋"/>
          <w:kern w:val="0"/>
          <w:sz w:val="32"/>
          <w:szCs w:val="32"/>
        </w:rPr>
        <w:t>、科技金融结合</w:t>
      </w:r>
      <w:r>
        <w:rPr>
          <w:rFonts w:ascii="仿宋" w:hAnsi="仿宋" w:eastAsia="仿宋" w:cs="仿宋"/>
          <w:kern w:val="0"/>
          <w:sz w:val="32"/>
          <w:szCs w:val="32"/>
        </w:rPr>
        <w:t>和科技中介组织发展。统筹区域科技创新体系建设，指导区域创新发展、科技资源合理布局和协同创新能力建设，推动科技园区建设。负责科技监督评价体系建设和相关科技评估管理，指导科技评价机制改革，统筹科研诚信建设。组织实施</w:t>
      </w:r>
      <w:r>
        <w:rPr>
          <w:rFonts w:hint="eastAsia" w:ascii="仿宋" w:hAnsi="仿宋" w:eastAsia="仿宋" w:cs="仿宋"/>
          <w:kern w:val="0"/>
          <w:sz w:val="32"/>
          <w:szCs w:val="32"/>
        </w:rPr>
        <w:t>全市</w:t>
      </w:r>
      <w:r>
        <w:rPr>
          <w:rFonts w:ascii="仿宋" w:hAnsi="仿宋" w:eastAsia="仿宋" w:cs="仿宋"/>
          <w:kern w:val="0"/>
          <w:sz w:val="32"/>
          <w:szCs w:val="32"/>
        </w:rPr>
        <w:t>创新调查和科技报告制度，指导全</w:t>
      </w:r>
      <w:r>
        <w:rPr>
          <w:rFonts w:hint="eastAsia" w:ascii="仿宋" w:hAnsi="仿宋" w:eastAsia="仿宋" w:cs="仿宋"/>
          <w:kern w:val="0"/>
          <w:sz w:val="32"/>
          <w:szCs w:val="32"/>
        </w:rPr>
        <w:t>市</w:t>
      </w:r>
      <w:r>
        <w:rPr>
          <w:rFonts w:ascii="仿宋" w:hAnsi="仿宋" w:eastAsia="仿宋" w:cs="仿宋"/>
          <w:kern w:val="0"/>
          <w:sz w:val="32"/>
          <w:szCs w:val="32"/>
        </w:rPr>
        <w:t>科技保密工作。拟订科技对外交往与创新能力开放合作的规划、政策和措施，组织开展国际</w:t>
      </w:r>
      <w:r>
        <w:rPr>
          <w:rFonts w:hint="eastAsia" w:ascii="仿宋" w:hAnsi="仿宋" w:eastAsia="仿宋" w:cs="仿宋"/>
          <w:kern w:val="0"/>
          <w:sz w:val="32"/>
          <w:szCs w:val="32"/>
        </w:rPr>
        <w:t>和区域</w:t>
      </w:r>
      <w:r>
        <w:rPr>
          <w:rFonts w:ascii="仿宋" w:hAnsi="仿宋" w:eastAsia="仿宋" w:cs="仿宋"/>
          <w:kern w:val="0"/>
          <w:sz w:val="32"/>
          <w:szCs w:val="32"/>
        </w:rPr>
        <w:t>科技合作与科技人才交流。指导相关部门和</w:t>
      </w:r>
      <w:r>
        <w:rPr>
          <w:rFonts w:hint="eastAsia" w:ascii="仿宋" w:hAnsi="仿宋" w:eastAsia="仿宋" w:cs="仿宋"/>
          <w:kern w:val="0"/>
          <w:sz w:val="32"/>
          <w:szCs w:val="32"/>
        </w:rPr>
        <w:t>县市区</w:t>
      </w:r>
      <w:r>
        <w:rPr>
          <w:rFonts w:ascii="仿宋" w:hAnsi="仿宋" w:eastAsia="仿宋" w:cs="仿宋"/>
          <w:kern w:val="0"/>
          <w:sz w:val="32"/>
          <w:szCs w:val="32"/>
        </w:rPr>
        <w:t>对外科技合作与科技人才交流工作。负责引进国外</w:t>
      </w:r>
      <w:r>
        <w:rPr>
          <w:rFonts w:hint="eastAsia" w:ascii="仿宋" w:hAnsi="仿宋" w:eastAsia="仿宋" w:cs="仿宋"/>
          <w:kern w:val="0"/>
          <w:sz w:val="32"/>
          <w:szCs w:val="32"/>
        </w:rPr>
        <w:t>和国内</w:t>
      </w:r>
      <w:r>
        <w:rPr>
          <w:rFonts w:ascii="仿宋" w:hAnsi="仿宋" w:eastAsia="仿宋" w:cs="仿宋"/>
          <w:kern w:val="0"/>
          <w:sz w:val="32"/>
          <w:szCs w:val="32"/>
        </w:rPr>
        <w:t>智力工作。拟订</w:t>
      </w:r>
      <w:r>
        <w:rPr>
          <w:rFonts w:hint="eastAsia" w:ascii="仿宋" w:hAnsi="仿宋" w:eastAsia="仿宋" w:cs="仿宋"/>
          <w:kern w:val="0"/>
          <w:sz w:val="32"/>
          <w:szCs w:val="32"/>
        </w:rPr>
        <w:t>全市</w:t>
      </w:r>
      <w:r>
        <w:rPr>
          <w:rFonts w:ascii="仿宋" w:hAnsi="仿宋" w:eastAsia="仿宋" w:cs="仿宋"/>
          <w:kern w:val="0"/>
          <w:sz w:val="32"/>
          <w:szCs w:val="32"/>
        </w:rPr>
        <w:t>重点引进外国专家总体规划、计划并组织实施，建立国外</w:t>
      </w:r>
      <w:r>
        <w:rPr>
          <w:rFonts w:hint="eastAsia" w:ascii="仿宋" w:hAnsi="仿宋" w:eastAsia="仿宋" w:cs="仿宋"/>
          <w:kern w:val="0"/>
          <w:sz w:val="32"/>
          <w:szCs w:val="32"/>
        </w:rPr>
        <w:t>和国内</w:t>
      </w:r>
      <w:r>
        <w:rPr>
          <w:rFonts w:ascii="仿宋" w:hAnsi="仿宋" w:eastAsia="仿宋" w:cs="仿宋"/>
          <w:kern w:val="0"/>
          <w:sz w:val="32"/>
          <w:szCs w:val="32"/>
        </w:rPr>
        <w:t>高层次</w:t>
      </w:r>
      <w:r>
        <w:rPr>
          <w:rFonts w:hint="eastAsia" w:ascii="仿宋" w:hAnsi="仿宋" w:eastAsia="仿宋" w:cs="仿宋"/>
          <w:kern w:val="0"/>
          <w:sz w:val="32"/>
          <w:szCs w:val="32"/>
        </w:rPr>
        <w:t>科技</w:t>
      </w:r>
      <w:r>
        <w:rPr>
          <w:rFonts w:ascii="仿宋" w:hAnsi="仿宋" w:eastAsia="仿宋" w:cs="仿宋"/>
          <w:kern w:val="0"/>
          <w:sz w:val="32"/>
          <w:szCs w:val="32"/>
        </w:rPr>
        <w:t>创新人才、团队吸引集聚机制和</w:t>
      </w:r>
      <w:r>
        <w:rPr>
          <w:rFonts w:hint="eastAsia" w:ascii="仿宋" w:hAnsi="仿宋" w:eastAsia="仿宋" w:cs="仿宋"/>
          <w:kern w:val="0"/>
          <w:sz w:val="32"/>
          <w:szCs w:val="32"/>
        </w:rPr>
        <w:t>重点</w:t>
      </w:r>
      <w:r>
        <w:rPr>
          <w:rFonts w:ascii="仿宋" w:hAnsi="仿宋" w:eastAsia="仿宋" w:cs="仿宋"/>
          <w:kern w:val="0"/>
          <w:sz w:val="32"/>
          <w:szCs w:val="32"/>
        </w:rPr>
        <w:t>国</w:t>
      </w:r>
      <w:r>
        <w:rPr>
          <w:rFonts w:hint="eastAsia" w:ascii="仿宋" w:hAnsi="仿宋" w:eastAsia="仿宋" w:cs="仿宋"/>
          <w:kern w:val="0"/>
          <w:sz w:val="32"/>
          <w:szCs w:val="32"/>
        </w:rPr>
        <w:t>内</w:t>
      </w:r>
      <w:r>
        <w:rPr>
          <w:rFonts w:ascii="仿宋" w:hAnsi="仿宋" w:eastAsia="仿宋" w:cs="仿宋"/>
          <w:kern w:val="0"/>
          <w:sz w:val="32"/>
          <w:szCs w:val="32"/>
        </w:rPr>
        <w:t>外专家联系服务机制。拟订出国（境）培训总体规划、政策和年度计划并监督实施。会同有关部门拟订科技人才队伍建设规划和政策，建立健全科技人才评价和激励机制，组织实施科技人才计划，推动</w:t>
      </w:r>
      <w:r>
        <w:rPr>
          <w:rFonts w:hint="eastAsia" w:ascii="仿宋" w:hAnsi="仿宋" w:eastAsia="仿宋" w:cs="仿宋"/>
          <w:kern w:val="0"/>
          <w:sz w:val="32"/>
          <w:szCs w:val="32"/>
        </w:rPr>
        <w:t>高层次</w:t>
      </w:r>
      <w:r>
        <w:rPr>
          <w:rFonts w:ascii="仿宋" w:hAnsi="仿宋" w:eastAsia="仿宋" w:cs="仿宋"/>
          <w:kern w:val="0"/>
          <w:sz w:val="32"/>
          <w:szCs w:val="32"/>
        </w:rPr>
        <w:t>科技创新人才队伍建设。负责科学技术奖、</w:t>
      </w:r>
      <w:r>
        <w:rPr>
          <w:rFonts w:hint="eastAsia" w:ascii="仿宋" w:hAnsi="仿宋" w:eastAsia="仿宋" w:cs="仿宋"/>
          <w:kern w:val="0"/>
          <w:sz w:val="32"/>
          <w:szCs w:val="32"/>
        </w:rPr>
        <w:t>潇湘</w:t>
      </w:r>
      <w:r>
        <w:rPr>
          <w:rFonts w:ascii="仿宋" w:hAnsi="仿宋" w:eastAsia="仿宋" w:cs="仿宋"/>
          <w:kern w:val="0"/>
          <w:sz w:val="32"/>
          <w:szCs w:val="32"/>
        </w:rPr>
        <w:t>友谊奖</w:t>
      </w:r>
      <w:r>
        <w:rPr>
          <w:rFonts w:hint="eastAsia" w:ascii="仿宋" w:hAnsi="仿宋" w:eastAsia="仿宋" w:cs="仿宋"/>
          <w:kern w:val="0"/>
          <w:sz w:val="32"/>
          <w:szCs w:val="32"/>
        </w:rPr>
        <w:t>等推荐</w:t>
      </w:r>
      <w:r>
        <w:rPr>
          <w:rFonts w:ascii="仿宋" w:hAnsi="仿宋" w:eastAsia="仿宋" w:cs="仿宋"/>
          <w:kern w:val="0"/>
          <w:sz w:val="32"/>
          <w:szCs w:val="32"/>
        </w:rPr>
        <w:t>工作。</w:t>
      </w:r>
      <w:r>
        <w:rPr>
          <w:rFonts w:hint="eastAsia" w:ascii="仿宋" w:hAnsi="仿宋" w:eastAsia="仿宋" w:cs="仿宋"/>
          <w:kern w:val="0"/>
          <w:sz w:val="32"/>
          <w:szCs w:val="32"/>
        </w:rPr>
        <w:t>负责推荐</w:t>
      </w:r>
      <w:r>
        <w:rPr>
          <w:rFonts w:ascii="仿宋" w:hAnsi="仿宋" w:eastAsia="仿宋" w:cs="仿宋"/>
          <w:kern w:val="0"/>
          <w:sz w:val="32"/>
          <w:szCs w:val="32"/>
        </w:rPr>
        <w:t>国家</w:t>
      </w:r>
      <w:r>
        <w:rPr>
          <w:rFonts w:hint="eastAsia" w:ascii="仿宋" w:hAnsi="仿宋" w:eastAsia="仿宋" w:cs="仿宋"/>
          <w:kern w:val="0"/>
          <w:sz w:val="32"/>
          <w:szCs w:val="32"/>
        </w:rPr>
        <w:t>、省</w:t>
      </w:r>
      <w:r>
        <w:rPr>
          <w:rFonts w:ascii="仿宋" w:hAnsi="仿宋" w:eastAsia="仿宋" w:cs="仿宋"/>
          <w:kern w:val="0"/>
          <w:sz w:val="32"/>
          <w:szCs w:val="32"/>
        </w:rPr>
        <w:t>自然科学基金</w:t>
      </w:r>
      <w:r>
        <w:rPr>
          <w:rFonts w:hint="eastAsia" w:ascii="仿宋" w:hAnsi="仿宋" w:eastAsia="仿宋" w:cs="仿宋"/>
          <w:kern w:val="0"/>
          <w:sz w:val="32"/>
          <w:szCs w:val="32"/>
        </w:rPr>
        <w:t>项目</w:t>
      </w:r>
      <w:r>
        <w:rPr>
          <w:rFonts w:ascii="仿宋" w:hAnsi="仿宋" w:eastAsia="仿宋" w:cs="仿宋"/>
          <w:kern w:val="0"/>
          <w:sz w:val="32"/>
          <w:szCs w:val="32"/>
        </w:rPr>
        <w:t>。</w:t>
      </w:r>
      <w:r>
        <w:rPr>
          <w:rFonts w:hint="eastAsia" w:ascii="仿宋" w:hAnsi="仿宋" w:eastAsia="仿宋" w:cs="仿宋"/>
          <w:kern w:val="0"/>
          <w:sz w:val="32"/>
          <w:szCs w:val="32"/>
        </w:rPr>
        <w:t>负责本行业、领域的应急管理工作，对本行业、领域的安全生产工作实施监督管理。完成市委、市政府</w:t>
      </w:r>
      <w:r>
        <w:rPr>
          <w:rFonts w:ascii="仿宋" w:hAnsi="仿宋" w:eastAsia="仿宋" w:cs="仿宋"/>
          <w:kern w:val="0"/>
          <w:sz w:val="32"/>
          <w:szCs w:val="32"/>
        </w:rPr>
        <w:t>交办的其他任务。职能转变。围绕贯彻实施科教兴国战略、人才强国战略、创新驱动发展战略</w:t>
      </w:r>
      <w:r>
        <w:rPr>
          <w:rFonts w:hint="eastAsia" w:ascii="仿宋" w:hAnsi="仿宋" w:eastAsia="仿宋" w:cs="仿宋"/>
          <w:kern w:val="0"/>
          <w:sz w:val="32"/>
          <w:szCs w:val="32"/>
        </w:rPr>
        <w:t>和创新引领开放崛起战略</w:t>
      </w:r>
      <w:r>
        <w:rPr>
          <w:rFonts w:ascii="仿宋" w:hAnsi="仿宋" w:eastAsia="仿宋" w:cs="仿宋"/>
          <w:kern w:val="0"/>
          <w:sz w:val="32"/>
          <w:szCs w:val="32"/>
        </w:rPr>
        <w:t>，加强、优化、转变政府科技管理和服务职能，完善科技创新制度和组织体系，加强宏观管理和统筹协调，减少微观管理和具体审批事项，加强事中事后监管和科研诚信建设。从研发管理向创新服务转变，深入推进科技计划管理改革，建立公开统一的</w:t>
      </w:r>
      <w:r>
        <w:rPr>
          <w:rFonts w:hint="eastAsia" w:ascii="仿宋" w:hAnsi="仿宋" w:eastAsia="仿宋" w:cs="仿宋"/>
          <w:kern w:val="0"/>
          <w:sz w:val="32"/>
          <w:szCs w:val="32"/>
        </w:rPr>
        <w:t>市级</w:t>
      </w:r>
      <w:r>
        <w:rPr>
          <w:rFonts w:ascii="仿宋" w:hAnsi="仿宋" w:eastAsia="仿宋" w:cs="仿宋"/>
          <w:kern w:val="0"/>
          <w:sz w:val="32"/>
          <w:szCs w:val="32"/>
        </w:rPr>
        <w:t>科技管理平台，减少科技计划项目</w:t>
      </w:r>
      <w:r>
        <w:rPr>
          <w:rFonts w:hint="eastAsia" w:ascii="仿宋" w:hAnsi="仿宋" w:eastAsia="仿宋" w:cs="仿宋"/>
          <w:kern w:val="0"/>
          <w:sz w:val="32"/>
          <w:szCs w:val="32"/>
        </w:rPr>
        <w:t>配置中的</w:t>
      </w:r>
      <w:r>
        <w:rPr>
          <w:rFonts w:ascii="仿宋" w:hAnsi="仿宋" w:eastAsia="仿宋" w:cs="仿宋"/>
          <w:kern w:val="0"/>
          <w:sz w:val="32"/>
          <w:szCs w:val="32"/>
        </w:rPr>
        <w:t>重复、分散、封闭、低效现象。进一步改进科技人才评价机制，建立健全以创新能力、质量、贡献、绩效为导向的科技人才评价体系和激励政策，统筹</w:t>
      </w:r>
      <w:r>
        <w:rPr>
          <w:rFonts w:hint="eastAsia" w:ascii="仿宋" w:hAnsi="仿宋" w:eastAsia="仿宋" w:cs="仿宋"/>
          <w:kern w:val="0"/>
          <w:sz w:val="32"/>
          <w:szCs w:val="32"/>
        </w:rPr>
        <w:t>市内</w:t>
      </w:r>
      <w:r>
        <w:rPr>
          <w:rFonts w:ascii="仿宋" w:hAnsi="仿宋" w:eastAsia="仿宋" w:cs="仿宋"/>
          <w:kern w:val="0"/>
          <w:sz w:val="32"/>
          <w:szCs w:val="32"/>
        </w:rPr>
        <w:t>科技人才队伍建设和引进国外智力工作。</w:t>
      </w:r>
    </w:p>
    <w:p w14:paraId="65CC3111">
      <w:pPr>
        <w:adjustRightInd w:val="0"/>
        <w:snapToGrid w:val="0"/>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2.部门组织机构及人员情况。我局现有班子成员4人，设置内设机构</w:t>
      </w:r>
      <w:r>
        <w:rPr>
          <w:rFonts w:ascii="仿宋" w:hAnsi="仿宋" w:eastAsia="仿宋" w:cs="仿宋"/>
          <w:kern w:val="0"/>
          <w:sz w:val="32"/>
          <w:szCs w:val="32"/>
        </w:rPr>
        <w:t>1</w:t>
      </w:r>
      <w:r>
        <w:rPr>
          <w:rFonts w:hint="eastAsia" w:ascii="仿宋" w:hAnsi="仿宋" w:eastAsia="仿宋" w:cs="仿宋"/>
          <w:kern w:val="0"/>
          <w:sz w:val="32"/>
          <w:szCs w:val="32"/>
        </w:rPr>
        <w:t>1个，分别为办公室、发展规划科、政策法规科</w:t>
      </w:r>
      <w:r>
        <w:rPr>
          <w:rFonts w:ascii="仿宋" w:hAnsi="仿宋" w:eastAsia="仿宋" w:cs="仿宋"/>
          <w:kern w:val="0"/>
          <w:sz w:val="32"/>
          <w:szCs w:val="32"/>
        </w:rPr>
        <w:t>（</w:t>
      </w:r>
      <w:r>
        <w:rPr>
          <w:rFonts w:hint="eastAsia" w:ascii="仿宋" w:hAnsi="仿宋" w:eastAsia="仿宋" w:cs="仿宋"/>
          <w:kern w:val="0"/>
          <w:sz w:val="32"/>
          <w:szCs w:val="32"/>
        </w:rPr>
        <w:t>市创新型城市建设领导小组办公室、</w:t>
      </w:r>
      <w:r>
        <w:rPr>
          <w:rFonts w:ascii="仿宋" w:hAnsi="仿宋" w:eastAsia="仿宋" w:cs="仿宋"/>
          <w:kern w:val="0"/>
          <w:sz w:val="32"/>
          <w:szCs w:val="32"/>
        </w:rPr>
        <w:t>行政审批服务科）</w:t>
      </w:r>
      <w:r>
        <w:rPr>
          <w:rFonts w:hint="eastAsia" w:ascii="仿宋" w:hAnsi="仿宋" w:eastAsia="仿宋" w:cs="仿宋"/>
          <w:kern w:val="0"/>
          <w:sz w:val="32"/>
          <w:szCs w:val="32"/>
        </w:rPr>
        <w:t>、监督管理科、</w:t>
      </w:r>
      <w:r>
        <w:rPr>
          <w:rFonts w:ascii="仿宋" w:hAnsi="仿宋" w:eastAsia="仿宋" w:cs="仿宋"/>
          <w:kern w:val="0"/>
          <w:sz w:val="32"/>
          <w:szCs w:val="32"/>
        </w:rPr>
        <w:t>高新技术发展</w:t>
      </w:r>
      <w:r>
        <w:rPr>
          <w:rFonts w:hint="eastAsia" w:ascii="仿宋" w:hAnsi="仿宋" w:eastAsia="仿宋" w:cs="仿宋"/>
          <w:kern w:val="0"/>
          <w:sz w:val="32"/>
          <w:szCs w:val="32"/>
        </w:rPr>
        <w:t>及产业化</w:t>
      </w:r>
      <w:r>
        <w:rPr>
          <w:rFonts w:ascii="仿宋" w:hAnsi="仿宋" w:eastAsia="仿宋" w:cs="仿宋"/>
          <w:kern w:val="0"/>
          <w:sz w:val="32"/>
          <w:szCs w:val="32"/>
        </w:rPr>
        <w:t>科</w:t>
      </w:r>
      <w:r>
        <w:rPr>
          <w:rFonts w:hint="eastAsia" w:ascii="仿宋" w:hAnsi="仿宋" w:eastAsia="仿宋" w:cs="仿宋"/>
          <w:kern w:val="0"/>
          <w:sz w:val="32"/>
          <w:szCs w:val="32"/>
        </w:rPr>
        <w:t>、农村与社会发展科技科、基础研究与成果转化科、专家服务与科技合作科（科技创新人才办公室）、组织人事科、机关党委、离退休人员管理服务科。局属全额事业单位</w:t>
      </w:r>
      <w:r>
        <w:rPr>
          <w:rFonts w:ascii="仿宋" w:hAnsi="仿宋" w:eastAsia="仿宋" w:cs="仿宋"/>
          <w:kern w:val="0"/>
          <w:sz w:val="32"/>
          <w:szCs w:val="32"/>
        </w:rPr>
        <w:t>2</w:t>
      </w:r>
      <w:r>
        <w:rPr>
          <w:rFonts w:hint="eastAsia" w:ascii="仿宋" w:hAnsi="仿宋" w:eastAsia="仿宋" w:cs="仿宋"/>
          <w:kern w:val="0"/>
          <w:sz w:val="32"/>
          <w:szCs w:val="32"/>
        </w:rPr>
        <w:t>个</w:t>
      </w:r>
      <w:r>
        <w:rPr>
          <w:rFonts w:ascii="仿宋" w:hAnsi="仿宋" w:eastAsia="仿宋" w:cs="仿宋"/>
          <w:kern w:val="0"/>
          <w:sz w:val="32"/>
          <w:szCs w:val="32"/>
        </w:rPr>
        <w:t>:</w:t>
      </w:r>
      <w:r>
        <w:rPr>
          <w:rFonts w:hint="eastAsia" w:ascii="仿宋" w:hAnsi="仿宋" w:eastAsia="仿宋" w:cs="仿宋"/>
          <w:kern w:val="0"/>
          <w:sz w:val="32"/>
          <w:szCs w:val="32"/>
        </w:rPr>
        <w:t>市科技信息所、市生产力促进中心。截至2022年12月，我局现有编制66名，</w:t>
      </w:r>
      <w:r>
        <w:rPr>
          <w:rFonts w:ascii="仿宋" w:hAnsi="仿宋" w:eastAsia="仿宋" w:cs="仿宋"/>
          <w:kern w:val="0"/>
          <w:sz w:val="32"/>
          <w:szCs w:val="32"/>
        </w:rPr>
        <w:t>机关行政编制3</w:t>
      </w:r>
      <w:r>
        <w:rPr>
          <w:rFonts w:hint="eastAsia" w:ascii="仿宋" w:hAnsi="仿宋" w:eastAsia="仿宋" w:cs="仿宋"/>
          <w:kern w:val="0"/>
          <w:sz w:val="32"/>
          <w:szCs w:val="32"/>
        </w:rPr>
        <w:t>3</w:t>
      </w:r>
      <w:r>
        <w:rPr>
          <w:rFonts w:ascii="仿宋" w:hAnsi="仿宋" w:eastAsia="仿宋" w:cs="仿宋"/>
          <w:kern w:val="0"/>
          <w:sz w:val="32"/>
          <w:szCs w:val="32"/>
        </w:rPr>
        <w:t>名，机关</w:t>
      </w:r>
      <w:r>
        <w:rPr>
          <w:rFonts w:hint="eastAsia" w:ascii="仿宋" w:hAnsi="仿宋" w:eastAsia="仿宋" w:cs="仿宋"/>
          <w:kern w:val="0"/>
          <w:sz w:val="32"/>
          <w:szCs w:val="32"/>
        </w:rPr>
        <w:t>工勤</w:t>
      </w:r>
      <w:r>
        <w:rPr>
          <w:rFonts w:ascii="仿宋" w:hAnsi="仿宋" w:eastAsia="仿宋" w:cs="仿宋"/>
          <w:kern w:val="0"/>
          <w:sz w:val="32"/>
          <w:szCs w:val="32"/>
        </w:rPr>
        <w:t>编1名</w:t>
      </w:r>
      <w:r>
        <w:rPr>
          <w:rFonts w:hint="eastAsia" w:ascii="仿宋" w:hAnsi="仿宋" w:eastAsia="仿宋" w:cs="仿宋"/>
          <w:kern w:val="0"/>
          <w:sz w:val="32"/>
          <w:szCs w:val="32"/>
        </w:rPr>
        <w:t>，</w:t>
      </w:r>
      <w:r>
        <w:rPr>
          <w:rFonts w:ascii="仿宋" w:hAnsi="仿宋" w:eastAsia="仿宋" w:cs="仿宋"/>
          <w:kern w:val="0"/>
          <w:sz w:val="32"/>
          <w:szCs w:val="32"/>
        </w:rPr>
        <w:t>全额拨款事业编制32名</w:t>
      </w:r>
      <w:r>
        <w:rPr>
          <w:rFonts w:hint="eastAsia" w:ascii="仿宋" w:hAnsi="仿宋" w:eastAsia="仿宋" w:cs="仿宋"/>
          <w:kern w:val="0"/>
          <w:sz w:val="32"/>
          <w:szCs w:val="32"/>
        </w:rPr>
        <w:t>，实有人数119人，其中在职59人，离退休60人。</w:t>
      </w:r>
    </w:p>
    <w:p w14:paraId="64093381">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20</w:t>
      </w:r>
      <w:r>
        <w:rPr>
          <w:rFonts w:hint="eastAsia" w:ascii="仿宋" w:hAnsi="仿宋" w:eastAsia="仿宋" w:cs="仿宋"/>
          <w:sz w:val="32"/>
          <w:szCs w:val="32"/>
        </w:rPr>
        <w:t>22年重点工作成效。</w:t>
      </w:r>
    </w:p>
    <w:p w14:paraId="06C4900D">
      <w:pPr>
        <w:pStyle w:val="3"/>
        <w:ind w:firstLine="640"/>
        <w:rPr>
          <w:rFonts w:ascii="仿宋" w:hAnsi="仿宋" w:eastAsia="仿宋" w:cs="仿宋"/>
          <w:kern w:val="0"/>
          <w:sz w:val="32"/>
          <w:szCs w:val="32"/>
        </w:rPr>
      </w:pPr>
      <w:r>
        <w:rPr>
          <w:rFonts w:ascii="仿宋" w:hAnsi="仿宋" w:eastAsia="仿宋" w:cs="仿宋"/>
          <w:kern w:val="0"/>
          <w:sz w:val="32"/>
          <w:szCs w:val="32"/>
        </w:rPr>
        <w:t>（一）强化党建引领，科技创新队伍呈现新面貌。把学习宣传贯彻党的二十大精神作为首要政治任务，认真学习贯彻习近平新时代中国特色社会主义思想和习近平关于科技创新重要论述，不断增强政治判断力、政治领悟力、政治执行力。出台《坚持党建引领 聚力真抓实干 以高质量党建助推科技创新工作高质量发展实施方案》，全面提高机关党的建设质量和水平，激励、督促每位党员牢记初心和使命，不断锤炼党性，永葆政治本色。1名副局长晋升一级调研员，提拔1名科长到市农科院担任副院长，局属事业单位新招聘人员6名，科技干部职工干事创业积极性高涨。市科技局获评省科技报告管理先进单位，获评省创新创业大赛、青少年科技创新大赛和青少年机器人竞赛优秀组织单位，获评市政协提案办理和营商环境先进单位。高新区、蒸湘区获省政府真抓实干督查激励。高新区获评国家级知识产权强国建设试点园区，科研助理岗位开发落实工作受到科技部表扬。衡东县科工信局获评全国科技管理系统先进集体。白沙绿岛高新区获评全国首批“科创中国”创新基地。</w:t>
      </w:r>
    </w:p>
    <w:p w14:paraId="044860E8">
      <w:pPr>
        <w:adjustRightInd w:val="0"/>
        <w:snapToGrid w:val="0"/>
        <w:spacing w:line="570" w:lineRule="exact"/>
        <w:ind w:firstLine="640" w:firstLineChars="200"/>
        <w:rPr>
          <w:rFonts w:ascii="仿宋" w:hAnsi="仿宋" w:eastAsia="仿宋" w:cs="仿宋"/>
          <w:kern w:val="0"/>
          <w:sz w:val="32"/>
          <w:szCs w:val="32"/>
        </w:rPr>
      </w:pPr>
      <w:r>
        <w:rPr>
          <w:rFonts w:ascii="仿宋" w:hAnsi="仿宋" w:eastAsia="仿宋" w:cs="仿宋"/>
          <w:kern w:val="0"/>
          <w:sz w:val="32"/>
          <w:szCs w:val="32"/>
        </w:rPr>
        <w:t>（二）强化体制改革，科技创新实力迈上新台阶。在全省率先出台科技体制机制改革方案，率先开展科技型企业知识价值信用贷款风险补偿改革，率先开展创新联合体建设工作。2022年，124家企业获得信用贷款约2.8亿元；支持建衡实业、金杯电工等企业联合高校院所组建“化工稀酸资源化技术”“智能装备线缆”等8家创新联合体；《以“三新”推进“六链”深度融合》典型经验获《湖南工作》推介；《推进产学研深度融合 激发科技创新活力》典型经验获《城市经济论坛》推介；《以恒心铸“衡新”》《强化企业主体地位 实现创新主体倍增》《科技赋能“软环境” 提升企业“创新力”》等典型经验获省市改革办、优化办推介。2021年全市全社会研发经费投入总量73.97亿元，同比增长16.6％。2022年1-11月，全市全社会研发经费投入总量99.83亿元（快报数），同比增长31.2%。衡阳顺利通过国家创新型城市评估验收，成功入围全国城市创新能力百强榜，在全国创新型城市中进位排名第64位。</w:t>
      </w:r>
    </w:p>
    <w:p w14:paraId="093EE2DE">
      <w:pPr>
        <w:pStyle w:val="3"/>
        <w:ind w:firstLine="640"/>
        <w:rPr>
          <w:rFonts w:ascii="仿宋" w:hAnsi="仿宋" w:eastAsia="仿宋" w:cs="仿宋"/>
          <w:kern w:val="0"/>
          <w:sz w:val="32"/>
          <w:szCs w:val="32"/>
        </w:rPr>
      </w:pPr>
      <w:r>
        <w:rPr>
          <w:rFonts w:ascii="仿宋" w:hAnsi="仿宋" w:eastAsia="仿宋" w:cs="仿宋"/>
          <w:kern w:val="0"/>
          <w:sz w:val="32"/>
          <w:szCs w:val="32"/>
        </w:rPr>
        <w:t>（三）强化科技支撑，自主创新能力实现新提升。全市共有2个项目入选2022年省十大技术攻关项目。特变电工衡变公司的“深海风电输变电核心技术”和率为公司的“新一代光子晶体光纤陀螺”项目正按计划任务书的要求有序推进。全市共有9个科技创新项目列入省产业项目建设活动。2022年计划投资6.43亿元，计划研发经费投资1.46亿元，已超额完成年度投资和年度研发投资计划。支持企业开展技术研发，争取省级科技项目52项资金2855万元，引导287家企业建立了企业研发准备金制度并备案，155家企业获省级研发奖补资金4682.34万元，同比增长24.3%。支持企事业单位开展基础研究和应用基础研究，2022年省市联合基金立项36项共180万元（其中衡阳市出资150万），2023年衡阳出资部分已增资至400万元。组织实施2022年市科技创新计划项目，通过实施科技重大专项、重点研发、产学研合作与创新联合体、基础研究等类别项目，开展核心技术攻关，提升科技创新能力。2022年全市地方财政科技支出15.85亿元，同比增长35.45%。</w:t>
      </w:r>
    </w:p>
    <w:p w14:paraId="7F877041">
      <w:pPr>
        <w:adjustRightInd w:val="0"/>
        <w:snapToGrid w:val="0"/>
        <w:spacing w:line="570" w:lineRule="exact"/>
        <w:ind w:firstLine="640" w:firstLineChars="200"/>
        <w:rPr>
          <w:rFonts w:ascii="仿宋" w:hAnsi="仿宋" w:eastAsia="仿宋" w:cs="仿宋"/>
          <w:kern w:val="0"/>
          <w:sz w:val="32"/>
          <w:szCs w:val="32"/>
        </w:rPr>
      </w:pPr>
      <w:r>
        <w:rPr>
          <w:rFonts w:ascii="仿宋" w:hAnsi="仿宋" w:eastAsia="仿宋" w:cs="仿宋"/>
          <w:kern w:val="0"/>
          <w:sz w:val="32"/>
          <w:szCs w:val="32"/>
        </w:rPr>
        <w:t>（四）强化协同创新，科技成果转化迈出新步伐。做大做强特色产业，在核技术应用、医学、油茶等细分领域打造产业创新高地，鼓励支持高校、科研院所、医院、企业开展产学研合作。全省潇湘科技要素大市场体系建设工作推进会在衡召开，总结建设以来的工作成效。衡阳分市场正式揭牌，已规范运行。全市新增国家级科技创新平台3家，新增省级科技创新平台20家。其中泰豪通讯车辆、合力工业获批湖南省工程技术研究中心，分别获得100万元市级配套资金奖励。助推中国科学院地理所与我市共建地理环境综合试验站（衡阳站），支持南华大学组建辐射-线粒体与人类重大疾病国家重点实验室，两个平台均已纳入我市新型基础设施建设重大项目清单。南华大学“辐射-线粒体与人类重大疾病”实验室已纳入省科技厅国家重点实验室培育范围，获省级经费支持1260万元。省科技厅调研组来衡开展“科技支撑打造输变电装备世界级产业集群”专题调研，拟将以衡阳为核心的湖南省输变电产业集群打造成新的千亿级省级创新型产业集群。举办湖南工学院专场科技成果对接会，8家企业与学校签订了产学研合作协议，发布企业技术需求200余项。2022年，全市技术合同成交额217.08亿元，增长270％，合同件数2759件，增长237％，进入全省第一方阵。</w:t>
      </w:r>
    </w:p>
    <w:p w14:paraId="47CCF2BF">
      <w:pPr>
        <w:pStyle w:val="3"/>
        <w:ind w:firstLine="640"/>
        <w:rPr>
          <w:rFonts w:ascii="仿宋" w:hAnsi="仿宋" w:eastAsia="仿宋" w:cs="仿宋"/>
          <w:kern w:val="0"/>
          <w:sz w:val="32"/>
          <w:szCs w:val="32"/>
        </w:rPr>
      </w:pPr>
      <w:r>
        <w:rPr>
          <w:rFonts w:ascii="仿宋" w:hAnsi="仿宋" w:eastAsia="仿宋" w:cs="仿宋"/>
          <w:kern w:val="0"/>
          <w:sz w:val="32"/>
          <w:szCs w:val="32"/>
        </w:rPr>
        <w:t>（五）强化主体培育，科技自立自强彰显新担当。把科技企业培育作为促进市场主体高质量发展的重要工作来推动，坚持精准辅导与督查考核双管齐下，强化“后备企业-科技型中小企业-高新技术企业”全链条培育。科技型中小企业目前已入库1220家，同比增长68.04%。2022年高新技术企业净增227家，总数达861家，列全省第3。2022年共拨付高新技术企业认定奖补资金4050万元。2022年前三季度，全市高新技术产业增加值同比增速排名全省第三。市委审议通过了《衡阳市外国专家人才引进支持项目实施办法》《衡阳市企业科技创新创业团队支持项目实施办法》《衡阳市科技创新“揭榜挂帅”项目实施办法》《衡阳市科技人才成果转化支持计划实施办法》《衡阳市青年英才支持项目实施办法》5个配套实施办法，新增人才发展资金4000万。2022年，大三湘、角山米业、金悦新材料获省企业科技创新创业团队立项支持，创造了衡阳纪录；桂成方、颜群轩、彭龙生、唐灵军四人荣获省科技创业领军人才（拔尖）；曾婉荣获省青年科技人才（荷尖）；马素德荣获湖湘高层次人才聚集工程项目。成功引进日本工程院院士、上海交通大学教授李劼团队，李劼院士亲自担任衡阳市雁城区块链研究院院长，成为衡阳全职引进的首位院士。</w:t>
      </w:r>
    </w:p>
    <w:p w14:paraId="145A1949">
      <w:pPr>
        <w:adjustRightInd w:val="0"/>
        <w:snapToGrid w:val="0"/>
        <w:spacing w:line="570" w:lineRule="exact"/>
        <w:ind w:firstLine="640" w:firstLineChars="200"/>
        <w:rPr>
          <w:rFonts w:ascii="仿宋" w:hAnsi="仿宋" w:eastAsia="仿宋" w:cs="仿宋"/>
          <w:kern w:val="0"/>
          <w:sz w:val="32"/>
          <w:szCs w:val="32"/>
        </w:rPr>
      </w:pPr>
      <w:r>
        <w:rPr>
          <w:rFonts w:ascii="仿宋" w:hAnsi="仿宋" w:eastAsia="仿宋" w:cs="仿宋"/>
          <w:kern w:val="0"/>
          <w:sz w:val="32"/>
          <w:szCs w:val="32"/>
        </w:rPr>
        <w:t>（六）强化科技惠民，增进民生福祉取得新成效。创新科技系统省市互动模式，与省科技厅联合开展“喜迎二十大·科技助雁城”主题工会活动。举办创新创业大赛。组织发动166家企业参加“创新创业大赛”，获市级奖励100万元，承办省总决赛，全省“高精尖”项目角逐年度最高奖项，衡阳华灏新材料科技有限公司获得小微组第一名，市科技局获省优秀组织奖。组织全市开展2022年科技活动周系列科普活动，开展科技活动周启动式、科普讲解大赛、青少年机器人大赛、药品科技活动周等十余项重大科普活动。</w:t>
      </w:r>
      <w:r>
        <w:rPr>
          <w:rFonts w:hint="eastAsia" w:ascii="仿宋" w:hAnsi="仿宋" w:eastAsia="仿宋" w:cs="仿宋"/>
          <w:kern w:val="0"/>
          <w:sz w:val="32"/>
          <w:szCs w:val="32"/>
        </w:rPr>
        <w:t>修订《衡阳市科技特派员管理办法》，选派109名市级科技特派员开展科技服务。衡山县获评省优秀科技专家服务团。出台了《衡阳市科技创新计划项目验收管理工作规范》《衡阳市科技信用管理办法》，组建市级科技专家库，征集技术、管理、财务专家118名。优化营商环境、精简审批流程，</w:t>
      </w:r>
      <w:r>
        <w:rPr>
          <w:rFonts w:ascii="仿宋" w:hAnsi="仿宋" w:eastAsia="仿宋" w:cs="仿宋"/>
          <w:kern w:val="0"/>
          <w:sz w:val="32"/>
          <w:szCs w:val="32"/>
        </w:rPr>
        <w:t>为群众打开透明、高效、便捷的“科技之窗”。</w:t>
      </w:r>
      <w:r>
        <w:rPr>
          <w:rFonts w:hint="eastAsia" w:ascii="仿宋" w:hAnsi="仿宋" w:eastAsia="仿宋" w:cs="仿宋"/>
          <w:kern w:val="0"/>
          <w:sz w:val="32"/>
          <w:szCs w:val="32"/>
        </w:rPr>
        <w:t>2022年</w:t>
      </w:r>
      <w:r>
        <w:rPr>
          <w:rFonts w:ascii="仿宋" w:hAnsi="仿宋" w:eastAsia="仿宋" w:cs="仿宋"/>
          <w:kern w:val="0"/>
          <w:sz w:val="32"/>
          <w:szCs w:val="32"/>
        </w:rPr>
        <w:t>办理外国人来华工作许可业务共8</w:t>
      </w:r>
      <w:r>
        <w:rPr>
          <w:rFonts w:hint="eastAsia" w:ascii="仿宋" w:hAnsi="仿宋" w:eastAsia="仿宋" w:cs="仿宋"/>
          <w:kern w:val="0"/>
          <w:sz w:val="32"/>
          <w:szCs w:val="32"/>
        </w:rPr>
        <w:t>7</w:t>
      </w:r>
      <w:r>
        <w:rPr>
          <w:rFonts w:ascii="仿宋" w:hAnsi="仿宋" w:eastAsia="仿宋" w:cs="仿宋"/>
          <w:kern w:val="0"/>
          <w:sz w:val="32"/>
          <w:szCs w:val="32"/>
        </w:rPr>
        <w:t>项，其中境外申请业务2</w:t>
      </w:r>
      <w:r>
        <w:rPr>
          <w:rFonts w:hint="eastAsia" w:ascii="仿宋" w:hAnsi="仿宋" w:eastAsia="仿宋" w:cs="仿宋"/>
          <w:kern w:val="0"/>
          <w:sz w:val="32"/>
          <w:szCs w:val="32"/>
        </w:rPr>
        <w:t>9</w:t>
      </w:r>
      <w:r>
        <w:rPr>
          <w:rFonts w:ascii="仿宋" w:hAnsi="仿宋" w:eastAsia="仿宋" w:cs="仿宋"/>
          <w:kern w:val="0"/>
          <w:sz w:val="32"/>
          <w:szCs w:val="32"/>
        </w:rPr>
        <w:t>项，境内申请业务1</w:t>
      </w:r>
      <w:r>
        <w:rPr>
          <w:rFonts w:hint="eastAsia" w:ascii="仿宋" w:hAnsi="仿宋" w:eastAsia="仿宋" w:cs="仿宋"/>
          <w:kern w:val="0"/>
          <w:sz w:val="32"/>
          <w:szCs w:val="32"/>
        </w:rPr>
        <w:t>6</w:t>
      </w:r>
      <w:r>
        <w:rPr>
          <w:rFonts w:ascii="仿宋" w:hAnsi="仿宋" w:eastAsia="仿宋" w:cs="仿宋"/>
          <w:kern w:val="0"/>
          <w:sz w:val="32"/>
          <w:szCs w:val="32"/>
        </w:rPr>
        <w:t>项，延期业务</w:t>
      </w:r>
      <w:r>
        <w:rPr>
          <w:rFonts w:hint="eastAsia" w:ascii="仿宋" w:hAnsi="仿宋" w:eastAsia="仿宋" w:cs="仿宋"/>
          <w:kern w:val="0"/>
          <w:sz w:val="32"/>
          <w:szCs w:val="32"/>
        </w:rPr>
        <w:t>30</w:t>
      </w:r>
      <w:r>
        <w:rPr>
          <w:rFonts w:ascii="仿宋" w:hAnsi="仿宋" w:eastAsia="仿宋" w:cs="仿宋"/>
          <w:kern w:val="0"/>
          <w:sz w:val="32"/>
          <w:szCs w:val="32"/>
        </w:rPr>
        <w:t>项，注销业务11项，变更业务1项</w:t>
      </w:r>
      <w:r>
        <w:rPr>
          <w:rFonts w:hint="eastAsia" w:ascii="仿宋" w:hAnsi="仿宋" w:eastAsia="仿宋" w:cs="仿宋"/>
          <w:kern w:val="0"/>
          <w:sz w:val="32"/>
          <w:szCs w:val="32"/>
        </w:rPr>
        <w:t>，</w:t>
      </w:r>
      <w:r>
        <w:rPr>
          <w:rFonts w:ascii="仿宋" w:hAnsi="仿宋" w:eastAsia="仿宋" w:cs="仿宋"/>
          <w:kern w:val="0"/>
          <w:sz w:val="32"/>
          <w:szCs w:val="32"/>
        </w:rPr>
        <w:t>新审批批准外国人用人单位6家</w:t>
      </w:r>
      <w:r>
        <w:rPr>
          <w:rFonts w:hint="eastAsia" w:ascii="仿宋" w:hAnsi="仿宋" w:eastAsia="仿宋" w:cs="仿宋"/>
          <w:kern w:val="0"/>
          <w:sz w:val="32"/>
          <w:szCs w:val="32"/>
        </w:rPr>
        <w:t>。全市引进外国专家人才55人，其中</w:t>
      </w:r>
      <w:r>
        <w:rPr>
          <w:rFonts w:ascii="仿宋" w:hAnsi="仿宋" w:eastAsia="仿宋" w:cs="仿宋"/>
          <w:kern w:val="0"/>
          <w:sz w:val="32"/>
          <w:szCs w:val="32"/>
        </w:rPr>
        <w:t>外国高端人才（A类）</w:t>
      </w:r>
      <w:r>
        <w:rPr>
          <w:rFonts w:hint="eastAsia" w:ascii="仿宋" w:hAnsi="仿宋" w:eastAsia="仿宋" w:cs="仿宋"/>
          <w:kern w:val="0"/>
          <w:sz w:val="32"/>
          <w:szCs w:val="32"/>
        </w:rPr>
        <w:t>8人、</w:t>
      </w:r>
      <w:r>
        <w:rPr>
          <w:rFonts w:ascii="仿宋" w:hAnsi="仿宋" w:eastAsia="仿宋" w:cs="仿宋"/>
          <w:kern w:val="0"/>
          <w:sz w:val="32"/>
          <w:szCs w:val="32"/>
        </w:rPr>
        <w:t>专业人才（B类）</w:t>
      </w:r>
      <w:r>
        <w:rPr>
          <w:rFonts w:hint="eastAsia" w:ascii="仿宋" w:hAnsi="仿宋" w:eastAsia="仿宋" w:cs="仿宋"/>
          <w:kern w:val="0"/>
          <w:sz w:val="32"/>
          <w:szCs w:val="32"/>
        </w:rPr>
        <w:t>47人。</w:t>
      </w:r>
    </w:p>
    <w:p w14:paraId="147CCB69">
      <w:pPr>
        <w:pBdr>
          <w:bottom w:val="single" w:color="FFFFFF" w:sz="4" w:space="31"/>
        </w:pBdr>
        <w:tabs>
          <w:tab w:val="left" w:pos="1440"/>
        </w:tabs>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（二）部门整体支出管理及使用情况</w:t>
      </w:r>
    </w:p>
    <w:p w14:paraId="5024197E">
      <w:pPr>
        <w:pBdr>
          <w:bottom w:val="single" w:color="FFFFFF" w:sz="4" w:space="31"/>
        </w:pBdr>
        <w:tabs>
          <w:tab w:val="left" w:pos="1440"/>
        </w:tabs>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按科目分类工资福利及对个人和家庭补助支出1375.08万元</w:t>
      </w:r>
      <w:r>
        <w:rPr>
          <w:rFonts w:ascii="仿宋" w:hAnsi="仿宋" w:eastAsia="仿宋" w:cs="仿宋"/>
          <w:sz w:val="32"/>
          <w:szCs w:val="32"/>
        </w:rPr>
        <w:t>;</w:t>
      </w:r>
      <w:r>
        <w:rPr>
          <w:rFonts w:hint="eastAsia" w:ascii="仿宋" w:hAnsi="仿宋" w:eastAsia="仿宋" w:cs="仿宋"/>
          <w:sz w:val="32"/>
          <w:szCs w:val="32"/>
        </w:rPr>
        <w:t>一般商品和服务支出586.96万元</w:t>
      </w:r>
      <w:r>
        <w:rPr>
          <w:rFonts w:ascii="仿宋" w:hAnsi="仿宋" w:eastAsia="仿宋" w:cs="仿宋"/>
          <w:sz w:val="32"/>
          <w:szCs w:val="32"/>
        </w:rPr>
        <w:t>;</w:t>
      </w:r>
      <w:r>
        <w:rPr>
          <w:rFonts w:hint="eastAsia" w:ascii="仿宋" w:hAnsi="仿宋" w:eastAsia="仿宋" w:cs="仿宋"/>
          <w:sz w:val="32"/>
          <w:szCs w:val="32"/>
        </w:rPr>
        <w:t>对企事业单位的补贴89万元。</w:t>
      </w:r>
    </w:p>
    <w:p w14:paraId="1203C018">
      <w:pPr>
        <w:pBdr>
          <w:bottom w:val="single" w:color="FFFFFF" w:sz="4" w:space="31"/>
        </w:pBdr>
        <w:tabs>
          <w:tab w:val="left" w:pos="1440"/>
        </w:tabs>
        <w:adjustRightInd w:val="0"/>
        <w:snapToGrid w:val="0"/>
        <w:spacing w:line="570" w:lineRule="exact"/>
        <w:ind w:firstLine="640" w:firstLineChars="200"/>
        <w:rPr>
          <w:rFonts w:ascii="仿宋" w:hAnsi="仿宋" w:eastAsia="仿宋" w:cs="宋体"/>
          <w:color w:val="414141"/>
          <w:kern w:val="0"/>
          <w:sz w:val="32"/>
          <w:szCs w:val="32"/>
        </w:rPr>
      </w:pPr>
      <w:r>
        <w:rPr>
          <w:rFonts w:hint="eastAsia" w:ascii="仿宋" w:hAnsi="仿宋" w:eastAsia="仿宋" w:cs="仿宋"/>
          <w:sz w:val="32"/>
          <w:szCs w:val="32"/>
        </w:rPr>
        <w:t>1.基本支出。2022年度基本支出1577.28万元，主要用于机关运行中人员及公用经费的开支。</w:t>
      </w:r>
      <w:r>
        <w:rPr>
          <w:rFonts w:hint="eastAsia" w:ascii="仿宋" w:hAnsi="仿宋" w:eastAsia="仿宋"/>
          <w:sz w:val="32"/>
          <w:szCs w:val="32"/>
        </w:rPr>
        <w:t>2022年实际“三公”经费支出6.67万元，比上年减少16.21%：公车运行维护费5.9万元，比上年增加3.15%;公务接待费0.77万元，比上年减少65.63%;因公出国（境）费用0万元，与上年持平。</w:t>
      </w:r>
      <w:r>
        <w:rPr>
          <w:rFonts w:hint="eastAsia" w:ascii="仿宋" w:hAnsi="仿宋" w:eastAsia="仿宋" w:cs="宋体"/>
          <w:color w:val="414141"/>
          <w:kern w:val="0"/>
          <w:sz w:val="32"/>
          <w:szCs w:val="32"/>
        </w:rPr>
        <w:t>2022年一般公共预算经费拨款支出“三公”经费6.67万元，比上年度增加0.23万元，增加3.6%：公车运行维护费5.9万元，比上年度增加1.71万元，增加40.81%;公务接待费0.77万元，比上年度减少1.47万元，减少65.63%;因公出国（境）费用0万元。原因是公车老旧，维护费用增加及因防疫要求，减少了人员流动;</w:t>
      </w:r>
    </w:p>
    <w:p w14:paraId="7C20676D">
      <w:pPr>
        <w:pBdr>
          <w:bottom w:val="single" w:color="FFFFFF" w:sz="4" w:space="31"/>
        </w:pBdr>
        <w:tabs>
          <w:tab w:val="left" w:pos="1440"/>
        </w:tabs>
        <w:adjustRightInd w:val="0"/>
        <w:snapToGrid w:val="0"/>
        <w:spacing w:line="570" w:lineRule="exact"/>
        <w:ind w:firstLine="640" w:firstLineChars="200"/>
        <w:rPr>
          <w:rFonts w:ascii="仿宋" w:hAnsi="仿宋" w:eastAsia="仿宋" w:cs="宋体"/>
          <w:color w:val="414141"/>
          <w:kern w:val="0"/>
          <w:sz w:val="32"/>
          <w:szCs w:val="32"/>
        </w:rPr>
      </w:pPr>
      <w:r>
        <w:rPr>
          <w:rFonts w:hint="eastAsia" w:ascii="仿宋" w:hAnsi="仿宋" w:eastAsia="仿宋" w:cs="宋体"/>
          <w:color w:val="414141"/>
          <w:kern w:val="0"/>
          <w:sz w:val="32"/>
          <w:szCs w:val="32"/>
        </w:rPr>
        <w:t>2022年机关运行经费166.5万元，比上年减少46.12万元，减少21.69%。主要原因是2020年事业单位改革完成。</w:t>
      </w:r>
    </w:p>
    <w:p w14:paraId="00C257DC">
      <w:pPr>
        <w:pBdr>
          <w:bottom w:val="single" w:color="FFFFFF" w:sz="4" w:space="31"/>
        </w:pBdr>
        <w:tabs>
          <w:tab w:val="left" w:pos="1440"/>
        </w:tabs>
        <w:adjustRightInd w:val="0"/>
        <w:snapToGrid w:val="0"/>
        <w:spacing w:line="570" w:lineRule="exact"/>
        <w:ind w:firstLine="640" w:firstLineChars="200"/>
        <w:rPr>
          <w:rFonts w:ascii="仿宋" w:hAnsi="仿宋" w:eastAsia="仿宋" w:cs="宋体"/>
          <w:color w:val="414141"/>
          <w:kern w:val="0"/>
          <w:sz w:val="32"/>
          <w:szCs w:val="32"/>
        </w:rPr>
      </w:pPr>
      <w:r>
        <w:rPr>
          <w:rFonts w:hint="eastAsia" w:ascii="仿宋" w:hAnsi="仿宋" w:eastAsia="仿宋" w:cs="宋体"/>
          <w:color w:val="414141"/>
          <w:kern w:val="0"/>
          <w:sz w:val="32"/>
          <w:szCs w:val="32"/>
        </w:rPr>
        <w:t>2.项目支出。严格按照专项资金使用范围，保证项目资金的专款专用。2022年度局项目实际支出473.76万元，2022年度项目支出财政预算为370万元。主要项目：孵化中心运行50万元、2022年市科技计划项目专项310万元。通过项目的实施，示范带动本市孵化器、众创空间和农村星创天地等国家和省级创新创业基地建设，提升创客空间孵化能力，创造就业岗位;建立基于信息聚合推送的智慧科技服务平台,实现动态掌握产业技术发展现状、产业政策以及成果转化等高价值情报信息。严格落实科技创新计划项目管理和科技报告相关制度，加强市科技创新计划项目管理和科技报告平台的科学化、规范化管理，为项目单位提供便捷的服务。</w:t>
      </w:r>
      <w:r>
        <w:rPr>
          <w:rFonts w:ascii="仿宋" w:hAnsi="仿宋" w:eastAsia="仿宋" w:cs="宋体"/>
          <w:color w:val="414141"/>
          <w:kern w:val="0"/>
          <w:sz w:val="32"/>
          <w:szCs w:val="32"/>
        </w:rPr>
        <w:t>大力培育高新技术企业和科技型中小企业，争创省级以上创新型县市区、高新区建设，引进更多的科技成果在衡转化，促进产学研深度融合</w:t>
      </w:r>
      <w:r>
        <w:rPr>
          <w:rFonts w:hint="eastAsia" w:ascii="仿宋" w:hAnsi="仿宋" w:eastAsia="仿宋" w:cs="宋体"/>
          <w:color w:val="414141"/>
          <w:kern w:val="0"/>
          <w:sz w:val="32"/>
          <w:szCs w:val="32"/>
        </w:rPr>
        <w:t>;</w:t>
      </w:r>
      <w:r>
        <w:rPr>
          <w:rFonts w:ascii="仿宋" w:hAnsi="仿宋" w:eastAsia="仿宋" w:cs="宋体"/>
          <w:color w:val="414141"/>
          <w:kern w:val="0"/>
          <w:sz w:val="32"/>
          <w:szCs w:val="32"/>
        </w:rPr>
        <w:t>举办创新创业大赛。组织发动166家企业参加“创新创业大赛”，获市级奖励100万元，承办省总决赛，全省“高精尖”项目角逐年度最高奖项，</w:t>
      </w:r>
      <w:r>
        <w:rPr>
          <w:rFonts w:hint="eastAsia" w:ascii="仿宋" w:hAnsi="仿宋" w:eastAsia="仿宋" w:cs="宋体"/>
          <w:color w:val="414141"/>
          <w:kern w:val="0"/>
          <w:sz w:val="32"/>
          <w:szCs w:val="32"/>
        </w:rPr>
        <w:t>1家企业</w:t>
      </w:r>
      <w:r>
        <w:rPr>
          <w:rFonts w:ascii="仿宋" w:hAnsi="仿宋" w:eastAsia="仿宋" w:cs="宋体"/>
          <w:color w:val="414141"/>
          <w:kern w:val="0"/>
          <w:sz w:val="32"/>
          <w:szCs w:val="32"/>
        </w:rPr>
        <w:t>获得小微组第一名，市科技局获省优秀组织奖</w:t>
      </w:r>
      <w:r>
        <w:rPr>
          <w:rFonts w:hint="eastAsia" w:ascii="仿宋" w:hAnsi="仿宋" w:eastAsia="仿宋" w:cs="宋体"/>
          <w:color w:val="414141"/>
          <w:kern w:val="0"/>
          <w:sz w:val="32"/>
          <w:szCs w:val="32"/>
        </w:rPr>
        <w:t>;</w:t>
      </w:r>
      <w:r>
        <w:rPr>
          <w:rFonts w:ascii="仿宋" w:hAnsi="仿宋" w:eastAsia="仿宋" w:cs="宋体"/>
          <w:color w:val="414141"/>
          <w:kern w:val="0"/>
          <w:sz w:val="32"/>
          <w:szCs w:val="32"/>
        </w:rPr>
        <w:t>市委审议通过了《衡阳市外国专家人才引进支持项目实施办法》《衡阳市企业科技创新创业团队支持项目实施办法》《衡阳市科技创新“揭榜挂帅”项目实施办法》《衡阳市科技人才成果转化支持计划实施办法》《衡阳市青年英才支持项目实施办法》5个配套实施办法。</w:t>
      </w:r>
    </w:p>
    <w:p w14:paraId="67F75966">
      <w:pPr>
        <w:pBdr>
          <w:bottom w:val="single" w:color="FFFFFF" w:sz="4" w:space="31"/>
        </w:pBdr>
        <w:tabs>
          <w:tab w:val="left" w:pos="1440"/>
        </w:tabs>
        <w:adjustRightInd w:val="0"/>
        <w:snapToGrid w:val="0"/>
        <w:spacing w:line="570" w:lineRule="exact"/>
        <w:ind w:firstLine="640" w:firstLineChars="200"/>
        <w:rPr>
          <w:rFonts w:ascii="仿宋" w:hAnsi="仿宋" w:eastAsia="仿宋" w:cs="宋体"/>
          <w:color w:val="414141"/>
          <w:kern w:val="0"/>
          <w:sz w:val="32"/>
          <w:szCs w:val="32"/>
        </w:rPr>
      </w:pPr>
      <w:r>
        <w:rPr>
          <w:rFonts w:hint="eastAsia" w:ascii="仿宋" w:hAnsi="仿宋" w:eastAsia="仿宋" w:cs="宋体"/>
          <w:color w:val="414141"/>
          <w:kern w:val="0"/>
          <w:sz w:val="32"/>
          <w:szCs w:val="32"/>
        </w:rPr>
        <w:t>（三）绩效自评情况</w:t>
      </w:r>
    </w:p>
    <w:p w14:paraId="3AC9EDCB">
      <w:pPr>
        <w:pBdr>
          <w:bottom w:val="single" w:color="FFFFFF" w:sz="4" w:space="31"/>
        </w:pBdr>
        <w:tabs>
          <w:tab w:val="left" w:pos="1440"/>
        </w:tabs>
        <w:adjustRightInd w:val="0"/>
        <w:snapToGrid w:val="0"/>
        <w:spacing w:line="570" w:lineRule="exact"/>
        <w:ind w:firstLine="640" w:firstLineChars="200"/>
        <w:rPr>
          <w:rFonts w:ascii="仿宋" w:hAnsi="仿宋" w:eastAsia="仿宋" w:cs="宋体"/>
          <w:color w:val="414141"/>
          <w:kern w:val="0"/>
          <w:sz w:val="32"/>
          <w:szCs w:val="32"/>
        </w:rPr>
      </w:pPr>
      <w:r>
        <w:rPr>
          <w:rFonts w:hint="eastAsia" w:ascii="仿宋" w:hAnsi="仿宋" w:eastAsia="仿宋" w:cs="宋体"/>
          <w:color w:val="414141"/>
          <w:kern w:val="0"/>
          <w:sz w:val="32"/>
          <w:szCs w:val="32"/>
        </w:rPr>
        <w:t>1.预算配置方面。财政供养人员控制在预算编制以内，编制内在职人员控制率89.39%，不存在超编现象。“三公”经费预算与上年持平。重点工作办结率100%。</w:t>
      </w:r>
    </w:p>
    <w:p w14:paraId="65B10AB3">
      <w:pPr>
        <w:pBdr>
          <w:bottom w:val="single" w:color="FFFFFF" w:sz="4" w:space="31"/>
        </w:pBdr>
        <w:tabs>
          <w:tab w:val="left" w:pos="1440"/>
        </w:tabs>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2.预算执行方面。支出总额控制在预算总额以内，预算完成率100%，除专项资金的追加和政策性工资绩效预算的追加外，本年部门预算未进行相关事项的调整。</w:t>
      </w:r>
    </w:p>
    <w:p w14:paraId="79BD59E4">
      <w:pPr>
        <w:pBdr>
          <w:bottom w:val="single" w:color="FFFFFF" w:sz="4" w:space="31"/>
        </w:pBdr>
        <w:tabs>
          <w:tab w:val="left" w:pos="1440"/>
        </w:tabs>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3.预算管理方面。</w:t>
      </w:r>
      <w:r>
        <w:rPr>
          <w:rFonts w:hint="eastAsia" w:ascii="仿宋" w:hAnsi="仿宋" w:eastAsia="仿宋" w:cs="宋体"/>
          <w:color w:val="414141"/>
          <w:kern w:val="0"/>
          <w:sz w:val="32"/>
          <w:szCs w:val="32"/>
        </w:rPr>
        <w:t>我局2022年度资金执行率95.23%， “三公”经费控制率为20.77%，资金拨付严格按照审批程序和手续，预、决算信息及时进行公开，对预算实行动</w:t>
      </w:r>
      <w:r>
        <w:rPr>
          <w:rFonts w:hint="eastAsia" w:ascii="仿宋" w:hAnsi="仿宋" w:eastAsia="仿宋" w:cs="仿宋"/>
          <w:sz w:val="32"/>
          <w:szCs w:val="32"/>
        </w:rPr>
        <w:t>态管理，整体预算管理符合相关标准和要求，各类专项资金均明确相应管理办法，确保资金使用合规。</w:t>
      </w:r>
    </w:p>
    <w:p w14:paraId="59308140">
      <w:pPr>
        <w:pBdr>
          <w:bottom w:val="single" w:color="FFFFFF" w:sz="4" w:space="31"/>
        </w:pBdr>
        <w:tabs>
          <w:tab w:val="left" w:pos="1440"/>
        </w:tabs>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4.履职效益方面。2022年，我局积极改进工作作风，提升工作效能，进一步规范经费及资产管理。通过社会调查，服务对象满意度高。</w:t>
      </w:r>
    </w:p>
    <w:p w14:paraId="67BA383A">
      <w:pPr>
        <w:pBdr>
          <w:bottom w:val="single" w:color="FFFFFF" w:sz="4" w:space="31"/>
        </w:pBdr>
        <w:tabs>
          <w:tab w:val="left" w:pos="1440"/>
        </w:tabs>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（四）存在问题与建议</w:t>
      </w:r>
    </w:p>
    <w:p w14:paraId="43EBD0FF">
      <w:pPr>
        <w:pBdr>
          <w:bottom w:val="single" w:color="FFFFFF" w:sz="4" w:space="31"/>
        </w:pBdr>
        <w:tabs>
          <w:tab w:val="left" w:pos="1440"/>
        </w:tabs>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1.存在问题：一是基本支出经费保障水平偏低。我局预算执行基本围绕保人员经费、保正常运转进行。从决算情况看基本支出比重比较大，基本保障面临巨大压力</w:t>
      </w:r>
      <w:r>
        <w:rPr>
          <w:rFonts w:ascii="仿宋" w:hAnsi="仿宋" w:eastAsia="仿宋" w:cs="仿宋"/>
          <w:sz w:val="32"/>
          <w:szCs w:val="32"/>
        </w:rPr>
        <w:t>;</w:t>
      </w:r>
      <w:r>
        <w:rPr>
          <w:rFonts w:hint="eastAsia" w:ascii="仿宋" w:hAnsi="仿宋" w:eastAsia="仿宋" w:cs="仿宋"/>
          <w:sz w:val="32"/>
          <w:szCs w:val="32"/>
        </w:rPr>
        <w:t>二是“三公”经费预算数与实际支出数差异较大;三是项目经费追加预算时间滞后，导致部分项目经费支出滞后;四是资产管理中管理制度有待健全。</w:t>
      </w:r>
    </w:p>
    <w:p w14:paraId="5BA69D4E">
      <w:pPr>
        <w:pBdr>
          <w:bottom w:val="single" w:color="FFFFFF" w:sz="4" w:space="31"/>
        </w:pBdr>
        <w:tabs>
          <w:tab w:val="left" w:pos="1440"/>
        </w:tabs>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2.下一步改进措施。一是科学编制预算，严格执行预算;二是合理执行预算，确保效益最大化;三是完善财务、资产等管理制度，规范报批手续;四是增强节约意识，努力建设节约型机关单位。</w:t>
      </w:r>
    </w:p>
    <w:p w14:paraId="64518555">
      <w:pPr>
        <w:spacing w:line="570" w:lineRule="exact"/>
        <w:ind w:firstLine="1440" w:firstLineChars="450"/>
        <w:rPr>
          <w:rFonts w:eastAsia="仿宋"/>
          <w:sz w:val="32"/>
          <w:szCs w:val="32"/>
        </w:rPr>
      </w:pPr>
    </w:p>
    <w:p w14:paraId="07DE97F9">
      <w:pPr>
        <w:spacing w:line="570" w:lineRule="exact"/>
        <w:ind w:firstLine="1440" w:firstLineChars="450"/>
        <w:jc w:val="right"/>
        <w:rPr>
          <w:rFonts w:eastAsia="仿宋"/>
          <w:sz w:val="32"/>
          <w:szCs w:val="32"/>
        </w:rPr>
      </w:pPr>
      <w:r>
        <w:rPr>
          <w:rFonts w:hint="eastAsia" w:eastAsia="仿宋"/>
          <w:sz w:val="32"/>
          <w:szCs w:val="32"/>
        </w:rPr>
        <w:t>衡阳市科学技术局</w:t>
      </w:r>
    </w:p>
    <w:p w14:paraId="5C95BD06">
      <w:pPr>
        <w:adjustRightInd w:val="0"/>
        <w:snapToGrid w:val="0"/>
        <w:spacing w:line="560" w:lineRule="exact"/>
        <w:ind w:firstLine="640" w:firstLineChars="200"/>
        <w:jc w:val="right"/>
        <w:rPr>
          <w:rFonts w:eastAsia="仿宋"/>
          <w:snapToGrid w:val="0"/>
          <w:kern w:val="0"/>
          <w:sz w:val="32"/>
          <w:szCs w:val="32"/>
        </w:rPr>
      </w:pPr>
      <w:r>
        <w:rPr>
          <w:rFonts w:hint="eastAsia" w:eastAsia="仿宋"/>
          <w:snapToGrid w:val="0"/>
          <w:kern w:val="0"/>
          <w:sz w:val="32"/>
          <w:szCs w:val="32"/>
        </w:rPr>
        <w:t>2023年3月28日</w:t>
      </w:r>
    </w:p>
    <w:sectPr>
      <w:footerReference r:id="rId3" w:type="default"/>
      <w:pgSz w:w="11906" w:h="16838"/>
      <w:pgMar w:top="1985"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创艺繁楷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KSOF439F63AF">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E01C6">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3450DDC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3CF5"/>
    <w:rsid w:val="000274EE"/>
    <w:rsid w:val="000428FD"/>
    <w:rsid w:val="00043D1A"/>
    <w:rsid w:val="00045DDE"/>
    <w:rsid w:val="00050208"/>
    <w:rsid w:val="000522BE"/>
    <w:rsid w:val="0005381D"/>
    <w:rsid w:val="00056494"/>
    <w:rsid w:val="00063CF5"/>
    <w:rsid w:val="0007045A"/>
    <w:rsid w:val="00073E28"/>
    <w:rsid w:val="000A233D"/>
    <w:rsid w:val="000A2393"/>
    <w:rsid w:val="000B0119"/>
    <w:rsid w:val="000F3DA1"/>
    <w:rsid w:val="001052F7"/>
    <w:rsid w:val="00107F7A"/>
    <w:rsid w:val="001118AC"/>
    <w:rsid w:val="00121DF3"/>
    <w:rsid w:val="00123B90"/>
    <w:rsid w:val="001301ED"/>
    <w:rsid w:val="00154201"/>
    <w:rsid w:val="00154261"/>
    <w:rsid w:val="001624E6"/>
    <w:rsid w:val="0016732B"/>
    <w:rsid w:val="00177480"/>
    <w:rsid w:val="00177CE0"/>
    <w:rsid w:val="00183A4F"/>
    <w:rsid w:val="00196053"/>
    <w:rsid w:val="00197FE0"/>
    <w:rsid w:val="001A23EC"/>
    <w:rsid w:val="001A3A6C"/>
    <w:rsid w:val="001C1992"/>
    <w:rsid w:val="001C26E4"/>
    <w:rsid w:val="001D1BE9"/>
    <w:rsid w:val="001E0F37"/>
    <w:rsid w:val="001E7BB4"/>
    <w:rsid w:val="00202735"/>
    <w:rsid w:val="0020501C"/>
    <w:rsid w:val="002067F2"/>
    <w:rsid w:val="00213C15"/>
    <w:rsid w:val="002158A2"/>
    <w:rsid w:val="002275C8"/>
    <w:rsid w:val="002320DC"/>
    <w:rsid w:val="002409FD"/>
    <w:rsid w:val="00242AB0"/>
    <w:rsid w:val="00244BD1"/>
    <w:rsid w:val="00252E0C"/>
    <w:rsid w:val="00262AA1"/>
    <w:rsid w:val="00286735"/>
    <w:rsid w:val="002934D8"/>
    <w:rsid w:val="00293D38"/>
    <w:rsid w:val="002A34F8"/>
    <w:rsid w:val="002C434C"/>
    <w:rsid w:val="002D167B"/>
    <w:rsid w:val="002D4ECB"/>
    <w:rsid w:val="002D5422"/>
    <w:rsid w:val="002D54CA"/>
    <w:rsid w:val="002E3475"/>
    <w:rsid w:val="002E5D65"/>
    <w:rsid w:val="002E6AF6"/>
    <w:rsid w:val="002F2B2C"/>
    <w:rsid w:val="002F3688"/>
    <w:rsid w:val="002F5F00"/>
    <w:rsid w:val="003047E3"/>
    <w:rsid w:val="003134AA"/>
    <w:rsid w:val="00322616"/>
    <w:rsid w:val="003233E7"/>
    <w:rsid w:val="00357B3E"/>
    <w:rsid w:val="0036350A"/>
    <w:rsid w:val="00375A11"/>
    <w:rsid w:val="003A26A3"/>
    <w:rsid w:val="003A7089"/>
    <w:rsid w:val="003B5D5E"/>
    <w:rsid w:val="003C59E1"/>
    <w:rsid w:val="003D1843"/>
    <w:rsid w:val="003F1B75"/>
    <w:rsid w:val="00402F76"/>
    <w:rsid w:val="00405CEA"/>
    <w:rsid w:val="004148EA"/>
    <w:rsid w:val="00416969"/>
    <w:rsid w:val="00416D8A"/>
    <w:rsid w:val="00431F0C"/>
    <w:rsid w:val="00432301"/>
    <w:rsid w:val="00432666"/>
    <w:rsid w:val="00454373"/>
    <w:rsid w:val="00485064"/>
    <w:rsid w:val="004878F3"/>
    <w:rsid w:val="00490651"/>
    <w:rsid w:val="004942C3"/>
    <w:rsid w:val="00494AA4"/>
    <w:rsid w:val="004A5926"/>
    <w:rsid w:val="004B53D5"/>
    <w:rsid w:val="004B5711"/>
    <w:rsid w:val="004B64CF"/>
    <w:rsid w:val="004C0D8F"/>
    <w:rsid w:val="004C2297"/>
    <w:rsid w:val="004C769D"/>
    <w:rsid w:val="004D1B39"/>
    <w:rsid w:val="004E0EFE"/>
    <w:rsid w:val="005140F4"/>
    <w:rsid w:val="0052120A"/>
    <w:rsid w:val="00525E88"/>
    <w:rsid w:val="00536DB2"/>
    <w:rsid w:val="005374C5"/>
    <w:rsid w:val="005446D3"/>
    <w:rsid w:val="00545DAF"/>
    <w:rsid w:val="00547B77"/>
    <w:rsid w:val="00547D26"/>
    <w:rsid w:val="00557D26"/>
    <w:rsid w:val="00560618"/>
    <w:rsid w:val="00584F04"/>
    <w:rsid w:val="005A439E"/>
    <w:rsid w:val="005B789C"/>
    <w:rsid w:val="005C4111"/>
    <w:rsid w:val="005D7BBE"/>
    <w:rsid w:val="005F01ED"/>
    <w:rsid w:val="005F269D"/>
    <w:rsid w:val="00601944"/>
    <w:rsid w:val="00636A7E"/>
    <w:rsid w:val="00644A4E"/>
    <w:rsid w:val="00651134"/>
    <w:rsid w:val="006610B9"/>
    <w:rsid w:val="00664038"/>
    <w:rsid w:val="006711CE"/>
    <w:rsid w:val="00674130"/>
    <w:rsid w:val="00677DC0"/>
    <w:rsid w:val="00685EC1"/>
    <w:rsid w:val="006866CE"/>
    <w:rsid w:val="006879A6"/>
    <w:rsid w:val="006A216A"/>
    <w:rsid w:val="006A49CF"/>
    <w:rsid w:val="006C763D"/>
    <w:rsid w:val="006D5299"/>
    <w:rsid w:val="00701CBC"/>
    <w:rsid w:val="00717DB3"/>
    <w:rsid w:val="00730DD0"/>
    <w:rsid w:val="0074143E"/>
    <w:rsid w:val="00745960"/>
    <w:rsid w:val="00753DB6"/>
    <w:rsid w:val="00760ADC"/>
    <w:rsid w:val="00763109"/>
    <w:rsid w:val="00763E02"/>
    <w:rsid w:val="00783033"/>
    <w:rsid w:val="007978F2"/>
    <w:rsid w:val="007C442D"/>
    <w:rsid w:val="007C77FA"/>
    <w:rsid w:val="00805F30"/>
    <w:rsid w:val="008105DF"/>
    <w:rsid w:val="0081696A"/>
    <w:rsid w:val="00827558"/>
    <w:rsid w:val="00830AC7"/>
    <w:rsid w:val="00831D92"/>
    <w:rsid w:val="00854EB6"/>
    <w:rsid w:val="00866A93"/>
    <w:rsid w:val="008718D8"/>
    <w:rsid w:val="0087322C"/>
    <w:rsid w:val="00873370"/>
    <w:rsid w:val="00880251"/>
    <w:rsid w:val="00880796"/>
    <w:rsid w:val="008A23A4"/>
    <w:rsid w:val="008C693F"/>
    <w:rsid w:val="008D10C0"/>
    <w:rsid w:val="008F643E"/>
    <w:rsid w:val="00904265"/>
    <w:rsid w:val="00912012"/>
    <w:rsid w:val="009167CF"/>
    <w:rsid w:val="00933BE1"/>
    <w:rsid w:val="00943C45"/>
    <w:rsid w:val="00945B05"/>
    <w:rsid w:val="00952A54"/>
    <w:rsid w:val="00974888"/>
    <w:rsid w:val="00974E51"/>
    <w:rsid w:val="00985E71"/>
    <w:rsid w:val="009866CD"/>
    <w:rsid w:val="00986FA2"/>
    <w:rsid w:val="009940D0"/>
    <w:rsid w:val="00995EF0"/>
    <w:rsid w:val="009D47B0"/>
    <w:rsid w:val="009D5E36"/>
    <w:rsid w:val="009E0B51"/>
    <w:rsid w:val="009E268A"/>
    <w:rsid w:val="009E6F05"/>
    <w:rsid w:val="009F53C1"/>
    <w:rsid w:val="00A04742"/>
    <w:rsid w:val="00A135F5"/>
    <w:rsid w:val="00A16046"/>
    <w:rsid w:val="00A1631B"/>
    <w:rsid w:val="00A20944"/>
    <w:rsid w:val="00A26ACF"/>
    <w:rsid w:val="00A50BC1"/>
    <w:rsid w:val="00A51737"/>
    <w:rsid w:val="00A55FAC"/>
    <w:rsid w:val="00A65482"/>
    <w:rsid w:val="00A70684"/>
    <w:rsid w:val="00A71533"/>
    <w:rsid w:val="00A769FB"/>
    <w:rsid w:val="00A806DD"/>
    <w:rsid w:val="00A80C98"/>
    <w:rsid w:val="00A81302"/>
    <w:rsid w:val="00A91261"/>
    <w:rsid w:val="00A937F1"/>
    <w:rsid w:val="00A945C6"/>
    <w:rsid w:val="00AA60D4"/>
    <w:rsid w:val="00AB19F3"/>
    <w:rsid w:val="00AD5E32"/>
    <w:rsid w:val="00AD673F"/>
    <w:rsid w:val="00AE71D7"/>
    <w:rsid w:val="00AF00AD"/>
    <w:rsid w:val="00AF2E7B"/>
    <w:rsid w:val="00B0382E"/>
    <w:rsid w:val="00B07ABD"/>
    <w:rsid w:val="00B12692"/>
    <w:rsid w:val="00B43A0E"/>
    <w:rsid w:val="00B44BE3"/>
    <w:rsid w:val="00B51AC2"/>
    <w:rsid w:val="00B55EC0"/>
    <w:rsid w:val="00B61973"/>
    <w:rsid w:val="00B67814"/>
    <w:rsid w:val="00B7000A"/>
    <w:rsid w:val="00B72B72"/>
    <w:rsid w:val="00B73209"/>
    <w:rsid w:val="00B84C08"/>
    <w:rsid w:val="00B87886"/>
    <w:rsid w:val="00BA1348"/>
    <w:rsid w:val="00BA7A98"/>
    <w:rsid w:val="00BD2C25"/>
    <w:rsid w:val="00BD4FD1"/>
    <w:rsid w:val="00BE7CFF"/>
    <w:rsid w:val="00BF4092"/>
    <w:rsid w:val="00BF7AEE"/>
    <w:rsid w:val="00C018B3"/>
    <w:rsid w:val="00C057F9"/>
    <w:rsid w:val="00C357F6"/>
    <w:rsid w:val="00C37AD5"/>
    <w:rsid w:val="00C41AAF"/>
    <w:rsid w:val="00C711BA"/>
    <w:rsid w:val="00C75EE0"/>
    <w:rsid w:val="00C82E11"/>
    <w:rsid w:val="00C9146C"/>
    <w:rsid w:val="00C95134"/>
    <w:rsid w:val="00C97E37"/>
    <w:rsid w:val="00CA7665"/>
    <w:rsid w:val="00CB5D8A"/>
    <w:rsid w:val="00CE4A0B"/>
    <w:rsid w:val="00CF058D"/>
    <w:rsid w:val="00D12BA3"/>
    <w:rsid w:val="00D20880"/>
    <w:rsid w:val="00D2202F"/>
    <w:rsid w:val="00D32177"/>
    <w:rsid w:val="00D3425D"/>
    <w:rsid w:val="00D464C5"/>
    <w:rsid w:val="00D56D5A"/>
    <w:rsid w:val="00D60082"/>
    <w:rsid w:val="00D63398"/>
    <w:rsid w:val="00D8453E"/>
    <w:rsid w:val="00D8610D"/>
    <w:rsid w:val="00D91928"/>
    <w:rsid w:val="00DA05CD"/>
    <w:rsid w:val="00DC771C"/>
    <w:rsid w:val="00DE088D"/>
    <w:rsid w:val="00DE4DDF"/>
    <w:rsid w:val="00DE6B19"/>
    <w:rsid w:val="00E01757"/>
    <w:rsid w:val="00E164D8"/>
    <w:rsid w:val="00E23D27"/>
    <w:rsid w:val="00E37F09"/>
    <w:rsid w:val="00E4149A"/>
    <w:rsid w:val="00E54CC4"/>
    <w:rsid w:val="00E54EC2"/>
    <w:rsid w:val="00E566EA"/>
    <w:rsid w:val="00E7682E"/>
    <w:rsid w:val="00E80AB9"/>
    <w:rsid w:val="00EA3BB4"/>
    <w:rsid w:val="00EA5E0F"/>
    <w:rsid w:val="00EB3BBA"/>
    <w:rsid w:val="00EB4CD3"/>
    <w:rsid w:val="00EE21DE"/>
    <w:rsid w:val="00EE25BA"/>
    <w:rsid w:val="00EE4CED"/>
    <w:rsid w:val="00EE5067"/>
    <w:rsid w:val="00EE554A"/>
    <w:rsid w:val="00EE5741"/>
    <w:rsid w:val="00EF75CD"/>
    <w:rsid w:val="00F00D45"/>
    <w:rsid w:val="00F02ED4"/>
    <w:rsid w:val="00F132E4"/>
    <w:rsid w:val="00F15D10"/>
    <w:rsid w:val="00F16E3C"/>
    <w:rsid w:val="00F24AF3"/>
    <w:rsid w:val="00F25C28"/>
    <w:rsid w:val="00F2751C"/>
    <w:rsid w:val="00F3017F"/>
    <w:rsid w:val="00F35F85"/>
    <w:rsid w:val="00F47EAB"/>
    <w:rsid w:val="00F93679"/>
    <w:rsid w:val="00FB3FDC"/>
    <w:rsid w:val="00FB67AF"/>
    <w:rsid w:val="00FB7CDB"/>
    <w:rsid w:val="00FD1BAE"/>
    <w:rsid w:val="00FD226B"/>
    <w:rsid w:val="242B73DF"/>
    <w:rsid w:val="2CA976B8"/>
    <w:rsid w:val="2E087521"/>
    <w:rsid w:val="300F68BF"/>
    <w:rsid w:val="38BE425C"/>
    <w:rsid w:val="5D185ABA"/>
    <w:rsid w:val="651C50F4"/>
    <w:rsid w:val="6840462F"/>
    <w:rsid w:val="68B514C6"/>
    <w:rsid w:val="78093A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7"/>
    <w:semiHidden/>
    <w:unhideWhenUsed/>
    <w:uiPriority w:val="99"/>
    <w:pPr>
      <w:ind w:left="100" w:leftChars="2500"/>
    </w:pPr>
  </w:style>
  <w:style w:type="paragraph" w:styleId="3">
    <w:name w:val="endnote text"/>
    <w:basedOn w:val="1"/>
    <w:link w:val="18"/>
    <w:qFormat/>
    <w:uiPriority w:val="99"/>
    <w:pPr>
      <w:snapToGrid w:val="0"/>
      <w:spacing w:line="590" w:lineRule="exact"/>
      <w:ind w:firstLine="800" w:firstLineChars="200"/>
      <w:jc w:val="left"/>
    </w:pPr>
    <w:rPr>
      <w:rFonts w:ascii="Calibri" w:hAnsi="Calibri"/>
      <w:szCs w:val="24"/>
    </w:rPr>
  </w:style>
  <w:style w:type="paragraph" w:styleId="4">
    <w:name w:val="footer"/>
    <w:basedOn w:val="1"/>
    <w:link w:val="14"/>
    <w:semiHidden/>
    <w:qFormat/>
    <w:uiPriority w:val="99"/>
    <w:pPr>
      <w:tabs>
        <w:tab w:val="center" w:pos="4153"/>
        <w:tab w:val="right" w:pos="8306"/>
      </w:tabs>
      <w:snapToGrid w:val="0"/>
      <w:jc w:val="left"/>
    </w:pPr>
    <w:rPr>
      <w:sz w:val="18"/>
      <w:szCs w:val="18"/>
    </w:rPr>
  </w:style>
  <w:style w:type="paragraph" w:styleId="5">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kern w:val="0"/>
      <w:sz w:val="24"/>
      <w:szCs w:val="24"/>
    </w:rPr>
  </w:style>
  <w:style w:type="paragraph" w:styleId="7">
    <w:name w:val="Title"/>
    <w:basedOn w:val="1"/>
    <w:next w:val="1"/>
    <w:link w:val="12"/>
    <w:qFormat/>
    <w:uiPriority w:val="99"/>
    <w:pPr>
      <w:spacing w:before="240" w:after="60"/>
      <w:jc w:val="center"/>
      <w:outlineLvl w:val="0"/>
    </w:pPr>
    <w:rPr>
      <w:rFonts w:ascii="Cambria" w:hAnsi="Cambria" w:cs="Cambria"/>
      <w:b/>
      <w:bCs/>
      <w:sz w:val="32"/>
      <w:szCs w:val="32"/>
    </w:rPr>
  </w:style>
  <w:style w:type="table" w:styleId="9">
    <w:name w:val="Table Grid"/>
    <w:basedOn w:val="8"/>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style>
  <w:style w:type="character" w:customStyle="1" w:styleId="12">
    <w:name w:val="标题 字符"/>
    <w:link w:val="7"/>
    <w:qFormat/>
    <w:locked/>
    <w:uiPriority w:val="99"/>
    <w:rPr>
      <w:rFonts w:ascii="Cambria" w:hAnsi="Cambria" w:eastAsia="宋体" w:cs="Cambria"/>
      <w:b/>
      <w:bCs/>
      <w:sz w:val="32"/>
      <w:szCs w:val="32"/>
    </w:rPr>
  </w:style>
  <w:style w:type="character" w:customStyle="1" w:styleId="13">
    <w:name w:val="页眉 字符"/>
    <w:link w:val="5"/>
    <w:semiHidden/>
    <w:qFormat/>
    <w:locked/>
    <w:uiPriority w:val="99"/>
    <w:rPr>
      <w:rFonts w:ascii="Times New Roman" w:hAnsi="Times New Roman" w:eastAsia="宋体" w:cs="Times New Roman"/>
      <w:sz w:val="18"/>
      <w:szCs w:val="18"/>
    </w:rPr>
  </w:style>
  <w:style w:type="character" w:customStyle="1" w:styleId="14">
    <w:name w:val="页脚 字符"/>
    <w:link w:val="4"/>
    <w:semiHidden/>
    <w:qFormat/>
    <w:locked/>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style>
  <w:style w:type="character" w:customStyle="1" w:styleId="16">
    <w:name w:val="16"/>
    <w:qFormat/>
    <w:uiPriority w:val="0"/>
    <w:rPr>
      <w:rFonts w:hint="default" w:ascii="Times New Roman" w:hAnsi="Times New Roman" w:cs="Times New Roman"/>
    </w:rPr>
  </w:style>
  <w:style w:type="character" w:customStyle="1" w:styleId="17">
    <w:name w:val="日期 字符"/>
    <w:link w:val="2"/>
    <w:semiHidden/>
    <w:qFormat/>
    <w:uiPriority w:val="99"/>
    <w:rPr>
      <w:kern w:val="2"/>
      <w:sz w:val="21"/>
      <w:szCs w:val="21"/>
    </w:rPr>
  </w:style>
  <w:style w:type="character" w:customStyle="1" w:styleId="18">
    <w:name w:val="尾注文本 字符"/>
    <w:link w:val="3"/>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D74F-9CAA-44D0-973B-AA1DF101B45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5923</Words>
  <Characters>6300</Characters>
  <Lines>44</Lines>
  <Paragraphs>12</Paragraphs>
  <TotalTime>1178</TotalTime>
  <ScaleCrop>false</ScaleCrop>
  <LinksUpToDate>false</LinksUpToDate>
  <CharactersWithSpaces>6310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2017-05-17T01:46:00Z</dcterms:created>
  <dc:creator>lenovo</dc:creator>
  <cp:lastModifiedBy>邓婷</cp:lastModifiedBy>
  <cp:lastPrinted>2023-04-20T01:30:00Z</cp:lastPrinted>
  <dcterms:modified xsi:type="dcterms:W3CDTF">2026-02-12T01:29:50Z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eyJoZGlkIjoiN2Y2YTkzM2Q3ZjFmZDA3MzYxZmZlNThiZjdiNmYxNGYiLCJ1c2VySWQiOiIxMDY5MjgzMDcxIn0=</vt:lpwstr>
  </property>
  <property fmtid="{D5CDD505-2E9C-101B-9397-08002B2CF9AE}" pid="4" name="ICV">
    <vt:lpwstr>E356642295DD4E13995ADBDBB618D889_12</vt:lpwstr>
  </property>
</Properties>
</file>