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1E324">
      <w:pPr>
        <w:spacing w:line="600" w:lineRule="exact"/>
        <w:jc w:val="both"/>
        <w:rPr>
          <w:rFonts w:ascii="Times New Roman" w:hAnsi="Times New Roman" w:eastAsia="方正小标宋简体"/>
          <w:sz w:val="44"/>
          <w:szCs w:val="44"/>
        </w:rPr>
      </w:pPr>
    </w:p>
    <w:p w14:paraId="3AFD81AC">
      <w:pPr>
        <w:spacing w:line="600" w:lineRule="exact"/>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衡阳市机关事务管理局</w:t>
      </w:r>
    </w:p>
    <w:p w14:paraId="3B27EB2C">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532DF884">
      <w:pPr>
        <w:rPr>
          <w:rFonts w:ascii="Times New Roman" w:hAnsi="Times New Roman" w:eastAsia="方正小标宋_GBK"/>
          <w:sz w:val="32"/>
          <w:szCs w:val="32"/>
        </w:rPr>
      </w:pPr>
    </w:p>
    <w:p w14:paraId="6E42AA2B">
      <w:pPr>
        <w:pStyle w:val="21"/>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textAlignment w:val="auto"/>
        <w:rPr>
          <w:rFonts w:eastAsia="黑体"/>
          <w:sz w:val="32"/>
          <w:szCs w:val="32"/>
        </w:rPr>
      </w:pPr>
      <w:r>
        <w:rPr>
          <w:rFonts w:eastAsia="黑体"/>
          <w:sz w:val="32"/>
          <w:szCs w:val="32"/>
        </w:rPr>
        <w:t>部门、单位基本情况</w:t>
      </w:r>
    </w:p>
    <w:p w14:paraId="61CC61B4">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仿宋_GB2312" w:hAnsi="仿宋_GB2312" w:eastAsia="仿宋_GB2312" w:cs="仿宋_GB2312"/>
          <w:color w:val="000000"/>
          <w:sz w:val="32"/>
          <w:szCs w:val="32"/>
          <w:lang w:val="en-US" w:eastAsia="zh-CN"/>
        </w:rPr>
        <w:t>衡阳市机关事务管理局是市政府工作部门，正处级。</w:t>
      </w:r>
      <w:r>
        <w:rPr>
          <w:rFonts w:hint="eastAsia" w:ascii="仿宋_GB2312" w:hAnsi="仿宋_GB2312" w:eastAsia="仿宋_GB2312" w:cs="仿宋_GB2312"/>
          <w:color w:val="000000"/>
          <w:sz w:val="32"/>
          <w:szCs w:val="32"/>
        </w:rPr>
        <w:t>我单位</w:t>
      </w:r>
      <w:r>
        <w:rPr>
          <w:rFonts w:hint="eastAsia" w:ascii="仿宋_GB2312" w:hAnsi="仿宋_GB2312" w:eastAsia="仿宋_GB2312" w:cs="仿宋_GB2312"/>
          <w:color w:val="000000"/>
          <w:sz w:val="32"/>
          <w:szCs w:val="32"/>
          <w:lang w:val="en-US" w:eastAsia="zh-CN"/>
        </w:rPr>
        <w:t>内设</w:t>
      </w:r>
      <w:r>
        <w:rPr>
          <w:rFonts w:hint="eastAsia" w:ascii="仿宋_GB2312" w:hAnsi="仿宋_GB2312" w:eastAsia="仿宋_GB2312" w:cs="仿宋_GB2312"/>
          <w:color w:val="000000"/>
          <w:sz w:val="32"/>
          <w:szCs w:val="32"/>
        </w:rPr>
        <w:t>科室</w:t>
      </w:r>
      <w:r>
        <w:rPr>
          <w:rFonts w:hint="eastAsia" w:ascii="Times New Roman" w:hAnsi="Times New Roman" w:eastAsia="仿宋_GB2312" w:cs="Times New Roman"/>
          <w:kern w:val="0"/>
          <w:sz w:val="32"/>
          <w:szCs w:val="32"/>
          <w:lang w:val="en-US" w:eastAsia="zh-CN" w:bidi="zh-CN"/>
        </w:rPr>
        <w:t>6</w:t>
      </w:r>
      <w:r>
        <w:rPr>
          <w:rFonts w:hint="eastAsia" w:ascii="Times New Roman" w:hAnsi="Times New Roman" w:eastAsia="仿宋_GB2312" w:cs="Times New Roman"/>
          <w:kern w:val="0"/>
          <w:sz w:val="32"/>
          <w:szCs w:val="32"/>
          <w:lang w:val="zh-CN" w:eastAsia="zh-CN" w:bidi="zh-CN"/>
        </w:rPr>
        <w:t>个</w:t>
      </w:r>
      <w:r>
        <w:rPr>
          <w:rFonts w:hint="eastAsia" w:ascii="仿宋_GB2312" w:hAnsi="仿宋_GB2312" w:eastAsia="仿宋_GB2312" w:cs="仿宋_GB2312"/>
          <w:color w:val="000000"/>
          <w:sz w:val="32"/>
          <w:szCs w:val="32"/>
        </w:rPr>
        <w:t>，包括办公室、财务管理科、办公用房管理科、国有资产管理科、公车管理科和公共资源节能管理科。所属事业单</w:t>
      </w:r>
      <w:r>
        <w:rPr>
          <w:rFonts w:hint="eastAsia" w:ascii="Times New Roman" w:hAnsi="Times New Roman" w:eastAsia="仿宋_GB2312" w:cs="Times New Roman"/>
          <w:kern w:val="0"/>
          <w:sz w:val="32"/>
          <w:szCs w:val="32"/>
          <w:lang w:val="en-US" w:eastAsia="zh-CN" w:bidi="zh-CN"/>
        </w:rPr>
        <w:t>位1个，为衡阳市机关事务服务中心。无二级预算单位。本单位人员共29个编制，其中：行政编17个，工勤编1个，事业编11个。年末实有人数25人，其中行政编在职15人，工勤编在职1人</w:t>
      </w:r>
      <w:r>
        <w:rPr>
          <w:rFonts w:hint="eastAsia" w:eastAsia="仿宋_GB2312"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事业编在职9人。</w:t>
      </w:r>
    </w:p>
    <w:p w14:paraId="1BA79329">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我单位的主要职责是：1.指导全市机关事务工作，负责市直机关事务的管理、保障和服务工作。2.指导全市机关单位办公用房管理，负责市直机关单位办公用房管理。3.负责市直行政事业单位机关国有资产管理。4.负责公务用车管理工作。5.统筹协调全市公共机构节能工作。6.会同相关部门管理、指导、监督、检查全市行政事业单位公务接待工作。7.负责指导市直机关单位后勤服务人员培训工作。负责指导全市机关后勤服务体制改革工作。</w:t>
      </w:r>
    </w:p>
    <w:p w14:paraId="5AE163D5">
      <w:pPr>
        <w:pStyle w:val="21"/>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eastAsia="黑体"/>
          <w:sz w:val="32"/>
          <w:szCs w:val="32"/>
        </w:rPr>
      </w:pPr>
      <w:r>
        <w:rPr>
          <w:rFonts w:eastAsia="黑体"/>
          <w:sz w:val="32"/>
          <w:szCs w:val="32"/>
        </w:rPr>
        <w:t>一般公共预算支出情况</w:t>
      </w:r>
    </w:p>
    <w:p w14:paraId="2DF8CE49">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eastAsia="楷体"/>
          <w:b/>
          <w:sz w:val="32"/>
          <w:szCs w:val="32"/>
        </w:rPr>
      </w:pPr>
      <w:r>
        <w:rPr>
          <w:rFonts w:hint="eastAsia" w:ascii="Times New Roman" w:hAnsi="Times New Roman" w:eastAsia="仿宋_GB2312" w:cs="Times New Roman"/>
          <w:kern w:val="0"/>
          <w:sz w:val="32"/>
          <w:szCs w:val="32"/>
          <w:lang w:val="en-US" w:eastAsia="zh-CN" w:bidi="zh-CN"/>
        </w:rPr>
        <w:t>本年支出合计1311.45万元，其中：基本支出493.51万元，占37.6%；项目支出817.94万元，占62.4%。</w:t>
      </w:r>
    </w:p>
    <w:p w14:paraId="3F163B4D">
      <w:pPr>
        <w:pStyle w:val="21"/>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eastAsia="楷体"/>
          <w:b/>
          <w:sz w:val="32"/>
          <w:szCs w:val="32"/>
        </w:rPr>
      </w:pPr>
      <w:r>
        <w:rPr>
          <w:rFonts w:eastAsia="楷体"/>
          <w:b/>
          <w:sz w:val="32"/>
          <w:szCs w:val="32"/>
        </w:rPr>
        <w:t>基本支出情况</w:t>
      </w:r>
    </w:p>
    <w:p w14:paraId="00C9F009">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202</w:t>
      </w:r>
      <w:r>
        <w:rPr>
          <w:rFonts w:hint="default" w:ascii="Times New Roman" w:hAnsi="Times New Roman" w:eastAsia="仿宋_GB2312" w:cs="Times New Roman"/>
          <w:kern w:val="0"/>
          <w:sz w:val="32"/>
          <w:szCs w:val="32"/>
          <w:lang w:val="en" w:eastAsia="zh-CN" w:bidi="zh-CN"/>
        </w:rPr>
        <w:t>2</w:t>
      </w:r>
      <w:r>
        <w:rPr>
          <w:rFonts w:hint="eastAsia" w:ascii="Times New Roman" w:hAnsi="Times New Roman" w:eastAsia="仿宋_GB2312" w:cs="Times New Roman"/>
          <w:kern w:val="0"/>
          <w:sz w:val="32"/>
          <w:szCs w:val="32"/>
          <w:lang w:val="en-US" w:eastAsia="zh-CN" w:bidi="zh-CN"/>
        </w:rPr>
        <w:t>年度财政拨款基本支出年初预算数为262</w:t>
      </w:r>
      <w:r>
        <w:rPr>
          <w:rFonts w:hint="default" w:ascii="Times New Roman" w:hAnsi="Times New Roman" w:eastAsia="仿宋_GB2312" w:cs="Times New Roman"/>
          <w:kern w:val="0"/>
          <w:sz w:val="32"/>
          <w:szCs w:val="32"/>
          <w:lang w:val="en" w:eastAsia="zh-CN" w:bidi="zh-CN"/>
        </w:rPr>
        <w:t>.12</w:t>
      </w:r>
      <w:r>
        <w:rPr>
          <w:rFonts w:hint="eastAsia" w:ascii="Times New Roman" w:hAnsi="Times New Roman" w:eastAsia="仿宋_GB2312" w:cs="Times New Roman"/>
          <w:kern w:val="0"/>
          <w:sz w:val="32"/>
          <w:szCs w:val="32"/>
          <w:lang w:val="en-US" w:eastAsia="zh-CN" w:bidi="zh-CN"/>
        </w:rPr>
        <w:t>万元（年度调整预算数为493.51万元），支出决算数为493.51万元，其中：</w:t>
      </w:r>
    </w:p>
    <w:p w14:paraId="2BF0274E">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1.一般公共服务支出（类）政府办公厅（室）及相关机构事务（款）行政运行（项）。年初预算为131.78万元，支出决算为</w:t>
      </w:r>
      <w:r>
        <w:rPr>
          <w:rFonts w:hint="default" w:ascii="Times New Roman" w:hAnsi="Times New Roman" w:eastAsia="仿宋_GB2312" w:cs="Times New Roman"/>
          <w:kern w:val="0"/>
          <w:sz w:val="32"/>
          <w:szCs w:val="32"/>
          <w:lang w:val="en" w:eastAsia="zh-CN" w:bidi="zh-CN"/>
        </w:rPr>
        <w:t>270.6</w:t>
      </w:r>
      <w:r>
        <w:rPr>
          <w:rFonts w:hint="eastAsia" w:ascii="Times New Roman" w:hAnsi="Times New Roman" w:eastAsia="仿宋_GB2312" w:cs="Times New Roman"/>
          <w:kern w:val="0"/>
          <w:sz w:val="32"/>
          <w:szCs w:val="32"/>
          <w:lang w:val="en-US" w:eastAsia="zh-CN" w:bidi="zh-CN"/>
        </w:rPr>
        <w:t>7万元，完成年初预算的205.4%。</w:t>
      </w:r>
    </w:p>
    <w:p w14:paraId="5006ED22">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2.一般公共服务支出（类）政府办公厅（室）及相关机构事务（款）一般行政管理事务（项）。年初预算为47.44万元，支出决算为142.26万元，完成年初预算的299.87%。</w:t>
      </w:r>
    </w:p>
    <w:p w14:paraId="45D0A42C">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3.机关事业单位基本养老保险缴费支出。年初预算为 20.03万元，支出决算为26.71万元，完成年初预算的133.35%。</w:t>
      </w:r>
    </w:p>
    <w:p w14:paraId="28523E2A">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4.行政事业单位医疗支出。年初预算为10.89万元，支出决算14.23万元，完成年初预算的130.67%。</w:t>
      </w:r>
    </w:p>
    <w:p w14:paraId="39682FDB">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5.其他行政事业单位医疗支出。年初预算为10.43万元，支出决算10.43万元，完成年初预算的100%。</w:t>
      </w:r>
    </w:p>
    <w:p w14:paraId="78E97733">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6.住房公积金支出。年初预算为15.02万元，支出决算为22.06万元，完成年初预算的146.6%。</w:t>
      </w:r>
    </w:p>
    <w:p w14:paraId="2CB96CB2">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7.机关事业单位职业年金缴费支出6.94万元。</w:t>
      </w:r>
    </w:p>
    <w:p w14:paraId="0360E599">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8.财政对工伤保险基金的补助支出0.21万元。</w:t>
      </w:r>
    </w:p>
    <w:p w14:paraId="096ACCD0">
      <w:pPr>
        <w:pStyle w:val="21"/>
        <w:pageBreakBefore w:val="0"/>
        <w:widowControl/>
        <w:kinsoku/>
        <w:wordWrap/>
        <w:overflowPunct/>
        <w:topLinePunct w:val="0"/>
        <w:bidi w:val="0"/>
        <w:spacing w:line="600" w:lineRule="exact"/>
        <w:ind w:firstLine="643"/>
        <w:textAlignment w:val="auto"/>
        <w:rPr>
          <w:rFonts w:eastAsia="楷体"/>
          <w:b/>
          <w:sz w:val="32"/>
          <w:szCs w:val="32"/>
        </w:rPr>
      </w:pPr>
      <w:r>
        <w:rPr>
          <w:rFonts w:eastAsia="楷体"/>
          <w:b/>
          <w:sz w:val="32"/>
          <w:szCs w:val="32"/>
        </w:rPr>
        <w:t>（二）项目支出情况</w:t>
      </w:r>
    </w:p>
    <w:p w14:paraId="0321DC04">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2022年度项目我单位项目支出合计817.94万元。其中：公务用车管理项目支出45万元，机关事业单位垃圾分类项目支出13.5万元，公共机构节能项目支出13.5万元，市直党政机关不动产权证办理项目支出9万元。市纪监委办公楼防水修缮项目支出80.38万元，市纪委5号办公楼会议室及大厅维修项目支出31.6万元，市委大院维修工程（二期）项目支出402.14万元，市政协办公楼维修项目支出222.82万元。</w:t>
      </w:r>
    </w:p>
    <w:p w14:paraId="02BA30EA">
      <w:pPr>
        <w:pStyle w:val="21"/>
        <w:pageBreakBefore w:val="0"/>
        <w:widowControl/>
        <w:kinsoku/>
        <w:wordWrap/>
        <w:overflowPunct/>
        <w:topLinePunct w:val="0"/>
        <w:bidi w:val="0"/>
        <w:spacing w:line="600" w:lineRule="exact"/>
        <w:ind w:firstLine="643"/>
        <w:textAlignment w:val="auto"/>
        <w:rPr>
          <w:rFonts w:eastAsia="黑体"/>
          <w:sz w:val="32"/>
          <w:szCs w:val="32"/>
        </w:rPr>
      </w:pPr>
      <w:r>
        <w:rPr>
          <w:rFonts w:eastAsia="黑体"/>
          <w:sz w:val="32"/>
          <w:szCs w:val="32"/>
        </w:rPr>
        <w:t>三、政府性基金预算支出情况</w:t>
      </w:r>
    </w:p>
    <w:p w14:paraId="6777C96B">
      <w:pPr>
        <w:pStyle w:val="21"/>
        <w:pageBreakBefore w:val="0"/>
        <w:widowControl/>
        <w:kinsoku/>
        <w:wordWrap/>
        <w:overflowPunct/>
        <w:topLinePunct w:val="0"/>
        <w:bidi w:val="0"/>
        <w:spacing w:line="600" w:lineRule="exact"/>
        <w:ind w:firstLine="640"/>
        <w:textAlignment w:val="auto"/>
        <w:rPr>
          <w:rFonts w:eastAsia="黑体"/>
          <w:sz w:val="32"/>
          <w:szCs w:val="32"/>
        </w:rPr>
      </w:pPr>
      <w:r>
        <w:rPr>
          <w:rFonts w:hint="eastAsia" w:ascii="仿宋_GB2312" w:hAnsi="仿宋_GB2312" w:eastAsia="仿宋_GB2312" w:cs="仿宋_GB2312"/>
          <w:kern w:val="2"/>
          <w:sz w:val="32"/>
          <w:szCs w:val="32"/>
          <w:lang w:val="en-US" w:eastAsia="zh-CN" w:bidi="ar-SA"/>
        </w:rPr>
        <w:t>本单位无政府性基金预算</w:t>
      </w:r>
    </w:p>
    <w:p w14:paraId="62C8DAB6">
      <w:pPr>
        <w:pStyle w:val="21"/>
        <w:pageBreakBefore w:val="0"/>
        <w:widowControl/>
        <w:numPr>
          <w:ilvl w:val="0"/>
          <w:numId w:val="3"/>
        </w:numPr>
        <w:kinsoku/>
        <w:wordWrap/>
        <w:overflowPunct/>
        <w:topLinePunct w:val="0"/>
        <w:bidi w:val="0"/>
        <w:spacing w:line="600" w:lineRule="exact"/>
        <w:ind w:firstLine="640"/>
        <w:textAlignment w:val="auto"/>
        <w:rPr>
          <w:rFonts w:eastAsia="黑体"/>
          <w:sz w:val="32"/>
          <w:szCs w:val="32"/>
        </w:rPr>
      </w:pPr>
      <w:r>
        <w:rPr>
          <w:rFonts w:eastAsia="黑体"/>
          <w:sz w:val="32"/>
          <w:szCs w:val="32"/>
        </w:rPr>
        <w:t>国有资本经营预算支出情况</w:t>
      </w:r>
    </w:p>
    <w:p w14:paraId="311AEDD8">
      <w:pPr>
        <w:pStyle w:val="21"/>
        <w:pageBreakBefore w:val="0"/>
        <w:widowControl/>
        <w:numPr>
          <w:ilvl w:val="0"/>
          <w:numId w:val="0"/>
        </w:numPr>
        <w:kinsoku/>
        <w:wordWrap/>
        <w:overflowPunct/>
        <w:topLinePunct w:val="0"/>
        <w:bidi w:val="0"/>
        <w:spacing w:line="600" w:lineRule="exact"/>
        <w:ind w:firstLine="640" w:firstLineChars="200"/>
        <w:textAlignment w:val="auto"/>
        <w:rPr>
          <w:rFonts w:eastAsia="黑体"/>
          <w:sz w:val="32"/>
          <w:szCs w:val="32"/>
        </w:rPr>
      </w:pPr>
      <w:r>
        <w:rPr>
          <w:rFonts w:hint="eastAsia" w:ascii="仿宋_GB2312" w:hAnsi="仿宋_GB2312" w:eastAsia="仿宋_GB2312" w:cs="仿宋_GB2312"/>
          <w:kern w:val="2"/>
          <w:sz w:val="32"/>
          <w:szCs w:val="32"/>
          <w:lang w:val="en-US" w:eastAsia="zh-CN" w:bidi="ar-SA"/>
        </w:rPr>
        <w:t>本单位无国有资本经营预算。</w:t>
      </w:r>
    </w:p>
    <w:p w14:paraId="7E2E2F64">
      <w:pPr>
        <w:pStyle w:val="21"/>
        <w:pageBreakBefore w:val="0"/>
        <w:widowControl/>
        <w:numPr>
          <w:ilvl w:val="0"/>
          <w:numId w:val="3"/>
        </w:numPr>
        <w:kinsoku/>
        <w:wordWrap/>
        <w:overflowPunct/>
        <w:topLinePunct w:val="0"/>
        <w:bidi w:val="0"/>
        <w:spacing w:line="600" w:lineRule="exact"/>
        <w:ind w:left="0" w:leftChars="0" w:firstLine="640" w:firstLineChars="200"/>
        <w:textAlignment w:val="auto"/>
        <w:rPr>
          <w:rFonts w:eastAsia="黑体"/>
          <w:sz w:val="32"/>
          <w:szCs w:val="32"/>
        </w:rPr>
      </w:pPr>
      <w:r>
        <w:rPr>
          <w:rFonts w:eastAsia="黑体"/>
          <w:sz w:val="32"/>
          <w:szCs w:val="32"/>
        </w:rPr>
        <w:t>社会保险基金预算支出情况</w:t>
      </w:r>
    </w:p>
    <w:p w14:paraId="02C4B1A8">
      <w:pPr>
        <w:pStyle w:val="21"/>
        <w:pageBreakBefore w:val="0"/>
        <w:widowControl/>
        <w:numPr>
          <w:ilvl w:val="0"/>
          <w:numId w:val="0"/>
        </w:numPr>
        <w:kinsoku/>
        <w:wordWrap/>
        <w:overflowPunct/>
        <w:topLinePunct w:val="0"/>
        <w:bidi w:val="0"/>
        <w:spacing w:line="600" w:lineRule="exact"/>
        <w:ind w:firstLine="640" w:firstLineChars="200"/>
        <w:textAlignment w:val="auto"/>
        <w:rPr>
          <w:rFonts w:eastAsia="黑体"/>
          <w:sz w:val="32"/>
          <w:szCs w:val="32"/>
        </w:rPr>
      </w:pPr>
      <w:r>
        <w:rPr>
          <w:rFonts w:hint="eastAsia" w:ascii="仿宋_GB2312" w:hAnsi="仿宋_GB2312" w:eastAsia="仿宋_GB2312" w:cs="仿宋_GB2312"/>
          <w:kern w:val="2"/>
          <w:sz w:val="32"/>
          <w:szCs w:val="32"/>
          <w:lang w:val="en-US" w:eastAsia="zh-CN" w:bidi="ar-SA"/>
        </w:rPr>
        <w:t>本单位无社会保险基金预算</w:t>
      </w:r>
    </w:p>
    <w:p w14:paraId="387DE4E5">
      <w:pPr>
        <w:pageBreakBefore w:val="0"/>
        <w:widowControl/>
        <w:kinsoku/>
        <w:wordWrap/>
        <w:overflowPunct/>
        <w:topLinePunct w:val="0"/>
        <w:bidi w:val="0"/>
        <w:spacing w:line="6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六、部门整体支出绩效情况</w:t>
      </w:r>
    </w:p>
    <w:p w14:paraId="66E3D3B2">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kern w:val="0"/>
          <w:sz w:val="32"/>
          <w:szCs w:val="32"/>
          <w:lang w:val="zh-CN" w:eastAsia="zh-CN" w:bidi="zh-CN"/>
        </w:rPr>
      </w:pPr>
      <w:r>
        <w:rPr>
          <w:rFonts w:hint="eastAsia" w:ascii="Times New Roman" w:hAnsi="Times New Roman" w:eastAsia="仿宋_GB2312" w:cs="Times New Roman"/>
          <w:kern w:val="0"/>
          <w:sz w:val="32"/>
          <w:szCs w:val="32"/>
          <w:lang w:val="zh-CN" w:eastAsia="zh-CN" w:bidi="zh-CN"/>
        </w:rPr>
        <w:t>本单位对照《衡阳市财政局关于开展202</w:t>
      </w:r>
      <w:r>
        <w:rPr>
          <w:rFonts w:hint="eastAsia" w:ascii="Times New Roman" w:hAnsi="Times New Roman" w:eastAsia="仿宋_GB2312" w:cs="Times New Roman"/>
          <w:kern w:val="0"/>
          <w:sz w:val="32"/>
          <w:szCs w:val="32"/>
          <w:lang w:val="en-US" w:eastAsia="zh-CN" w:bidi="zh-CN"/>
        </w:rPr>
        <w:t>2</w:t>
      </w:r>
      <w:r>
        <w:rPr>
          <w:rFonts w:hint="eastAsia" w:ascii="Times New Roman" w:hAnsi="Times New Roman" w:eastAsia="仿宋_GB2312" w:cs="Times New Roman"/>
          <w:kern w:val="0"/>
          <w:sz w:val="32"/>
          <w:szCs w:val="32"/>
          <w:lang w:val="zh-CN" w:eastAsia="zh-CN" w:bidi="zh-CN"/>
        </w:rPr>
        <w:t>年度市直预算部门整体支出财政绩效评价的通知》文件考核指标，从部门整体的目标设定、预算配置、预算执行、预算管理、资产管理、职责履行、履职效益等指标完成情况和部门专项支出的管理、使用、效益情况进行评价等多个方面，对</w:t>
      </w:r>
      <w:r>
        <w:rPr>
          <w:rFonts w:hint="eastAsia" w:ascii="Times New Roman" w:hAnsi="Times New Roman" w:eastAsia="仿宋_GB2312" w:cs="Times New Roman"/>
          <w:kern w:val="0"/>
          <w:sz w:val="32"/>
          <w:szCs w:val="32"/>
          <w:lang w:val="en-US" w:eastAsia="zh-CN" w:bidi="zh-CN"/>
        </w:rPr>
        <w:t>2022年</w:t>
      </w:r>
      <w:r>
        <w:rPr>
          <w:rFonts w:hint="eastAsia" w:ascii="Times New Roman" w:hAnsi="Times New Roman" w:eastAsia="仿宋_GB2312" w:cs="Times New Roman"/>
          <w:kern w:val="0"/>
          <w:sz w:val="32"/>
          <w:szCs w:val="32"/>
          <w:lang w:val="zh-CN" w:eastAsia="zh-CN" w:bidi="zh-CN"/>
        </w:rPr>
        <w:t>部门整体支出绩效进行了综合评议，具体绩效情况如下：</w:t>
      </w:r>
      <w:bookmarkStart w:id="0" w:name="_Toc9559"/>
      <w:bookmarkStart w:id="1" w:name="_Toc16359"/>
      <w:bookmarkStart w:id="2" w:name="_Toc9300"/>
    </w:p>
    <w:p w14:paraId="37621A95">
      <w:pPr>
        <w:pStyle w:val="23"/>
        <w:keepNext/>
        <w:keepLines/>
        <w:pageBreakBefore w:val="0"/>
        <w:widowControl w:val="0"/>
        <w:kinsoku/>
        <w:wordWrap/>
        <w:overflowPunct/>
        <w:topLinePunct w:val="0"/>
        <w:autoSpaceDE w:val="0"/>
        <w:autoSpaceDN w:val="0"/>
        <w:bidi w:val="0"/>
        <w:adjustRightInd w:val="0"/>
        <w:snapToGrid w:val="0"/>
        <w:spacing w:before="0" w:after="0" w:line="600" w:lineRule="exact"/>
        <w:ind w:right="0"/>
        <w:textAlignment w:val="auto"/>
        <w:rPr>
          <w:rFonts w:hint="eastAsia" w:ascii="楷体" w:hAnsi="楷体" w:eastAsia="楷体" w:cs="楷体"/>
          <w:lang w:val="en-US" w:eastAsia="zh-CN"/>
        </w:rPr>
      </w:pPr>
      <w:r>
        <w:rPr>
          <w:rFonts w:hint="eastAsia" w:ascii="楷体" w:hAnsi="楷体" w:eastAsia="楷体" w:cs="楷体"/>
          <w:lang w:val="en-US" w:eastAsia="zh-CN"/>
        </w:rPr>
        <w:t>（一）目标设定</w:t>
      </w:r>
      <w:bookmarkEnd w:id="0"/>
      <w:bookmarkEnd w:id="1"/>
      <w:r>
        <w:rPr>
          <w:rFonts w:hint="eastAsia" w:ascii="楷体" w:hAnsi="楷体" w:eastAsia="楷体" w:cs="楷体"/>
          <w:lang w:val="en-US" w:eastAsia="zh-CN"/>
        </w:rPr>
        <w:t>10分</w:t>
      </w:r>
      <w:bookmarkEnd w:id="2"/>
    </w:p>
    <w:p w14:paraId="17FECA4B">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kern w:val="0"/>
          <w:sz w:val="32"/>
          <w:szCs w:val="32"/>
          <w:lang w:val="zh-CN" w:eastAsia="zh-CN" w:bidi="zh-CN"/>
        </w:rPr>
      </w:pPr>
      <w:r>
        <w:rPr>
          <w:rFonts w:hint="eastAsia" w:eastAsia="仿宋_GB2312" w:cs="Times New Roman"/>
          <w:kern w:val="0"/>
          <w:sz w:val="32"/>
          <w:szCs w:val="32"/>
          <w:lang w:val="zh-CN" w:eastAsia="zh-CN" w:bidi="zh-CN"/>
        </w:rPr>
        <w:t>本单位</w:t>
      </w:r>
      <w:r>
        <w:rPr>
          <w:rFonts w:hint="eastAsia" w:ascii="Times New Roman" w:hAnsi="Times New Roman" w:eastAsia="仿宋_GB2312" w:cs="Times New Roman"/>
          <w:kern w:val="0"/>
          <w:sz w:val="32"/>
          <w:szCs w:val="32"/>
          <w:lang w:val="zh-CN" w:eastAsia="zh-CN" w:bidi="zh-CN"/>
        </w:rPr>
        <w:t>设定202</w:t>
      </w:r>
      <w:r>
        <w:rPr>
          <w:rFonts w:hint="eastAsia" w:eastAsia="仿宋_GB2312" w:cs="Times New Roman"/>
          <w:kern w:val="0"/>
          <w:sz w:val="32"/>
          <w:szCs w:val="32"/>
          <w:lang w:val="en-US" w:eastAsia="zh-CN" w:bidi="zh-CN"/>
        </w:rPr>
        <w:t>2</w:t>
      </w:r>
      <w:r>
        <w:rPr>
          <w:rFonts w:hint="eastAsia" w:ascii="Times New Roman" w:hAnsi="Times New Roman" w:eastAsia="仿宋_GB2312" w:cs="Times New Roman"/>
          <w:kern w:val="0"/>
          <w:sz w:val="32"/>
          <w:szCs w:val="32"/>
          <w:lang w:val="zh-CN" w:eastAsia="zh-CN" w:bidi="zh-CN"/>
        </w:rPr>
        <w:t>年整体绩效目标。绩效目标明确、合理，符合年度工作计划。满分</w:t>
      </w:r>
      <w:r>
        <w:rPr>
          <w:rFonts w:hint="eastAsia" w:eastAsia="仿宋_GB2312" w:cs="Times New Roman"/>
          <w:kern w:val="0"/>
          <w:sz w:val="32"/>
          <w:szCs w:val="32"/>
          <w:lang w:val="en-US" w:eastAsia="zh-CN" w:bidi="zh-CN"/>
        </w:rPr>
        <w:t>10</w:t>
      </w:r>
      <w:r>
        <w:rPr>
          <w:rFonts w:hint="eastAsia" w:ascii="Times New Roman" w:hAnsi="Times New Roman" w:eastAsia="仿宋_GB2312" w:cs="Times New Roman"/>
          <w:kern w:val="0"/>
          <w:sz w:val="32"/>
          <w:szCs w:val="32"/>
          <w:lang w:val="zh-CN" w:eastAsia="zh-CN" w:bidi="zh-CN"/>
        </w:rPr>
        <w:t>分，得分</w:t>
      </w:r>
      <w:r>
        <w:rPr>
          <w:rFonts w:hint="eastAsia" w:eastAsia="仿宋_GB2312" w:cs="Times New Roman"/>
          <w:kern w:val="0"/>
          <w:sz w:val="32"/>
          <w:szCs w:val="32"/>
          <w:lang w:val="en-US" w:eastAsia="zh-CN" w:bidi="zh-CN"/>
        </w:rPr>
        <w:t>10</w:t>
      </w:r>
      <w:r>
        <w:rPr>
          <w:rFonts w:hint="eastAsia" w:ascii="Times New Roman" w:hAnsi="Times New Roman" w:eastAsia="仿宋_GB2312" w:cs="Times New Roman"/>
          <w:kern w:val="0"/>
          <w:sz w:val="32"/>
          <w:szCs w:val="32"/>
          <w:lang w:val="zh-CN" w:eastAsia="zh-CN" w:bidi="zh-CN"/>
        </w:rPr>
        <w:t>分。</w:t>
      </w:r>
    </w:p>
    <w:p w14:paraId="0440128E">
      <w:pPr>
        <w:pStyle w:val="23"/>
        <w:keepNext/>
        <w:keepLines/>
        <w:pageBreakBefore w:val="0"/>
        <w:widowControl w:val="0"/>
        <w:kinsoku/>
        <w:wordWrap/>
        <w:overflowPunct/>
        <w:topLinePunct w:val="0"/>
        <w:autoSpaceDE w:val="0"/>
        <w:autoSpaceDN w:val="0"/>
        <w:bidi w:val="0"/>
        <w:adjustRightInd w:val="0"/>
        <w:snapToGrid w:val="0"/>
        <w:spacing w:before="0" w:after="0" w:line="600" w:lineRule="exact"/>
        <w:ind w:right="0"/>
        <w:textAlignment w:val="auto"/>
        <w:rPr>
          <w:rFonts w:hint="eastAsia"/>
          <w:lang w:val="en-US" w:eastAsia="zh-CN"/>
        </w:rPr>
      </w:pPr>
      <w:bookmarkStart w:id="3" w:name="_Toc7061"/>
      <w:bookmarkStart w:id="4" w:name="_Toc5612"/>
      <w:r>
        <w:rPr>
          <w:rFonts w:hint="eastAsia"/>
          <w:lang w:val="en-US" w:eastAsia="zh-CN"/>
        </w:rPr>
        <w:t>（二）预算配置</w:t>
      </w:r>
      <w:bookmarkEnd w:id="3"/>
      <w:r>
        <w:rPr>
          <w:rFonts w:hint="eastAsia"/>
          <w:lang w:val="en-US" w:eastAsia="zh-CN"/>
        </w:rPr>
        <w:t>5分</w:t>
      </w:r>
      <w:bookmarkEnd w:id="4"/>
    </w:p>
    <w:p w14:paraId="07354442">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kern w:val="0"/>
          <w:sz w:val="32"/>
          <w:szCs w:val="32"/>
          <w:lang w:val="zh-CN" w:eastAsia="zh-CN" w:bidi="zh-CN"/>
        </w:rPr>
      </w:pPr>
      <w:r>
        <w:rPr>
          <w:rFonts w:hint="eastAsia" w:eastAsia="仿宋_GB2312" w:cs="Times New Roman"/>
          <w:kern w:val="0"/>
          <w:sz w:val="32"/>
          <w:szCs w:val="32"/>
          <w:lang w:val="en-US" w:eastAsia="zh-CN" w:bidi="zh-CN"/>
        </w:rPr>
        <w:t>1.</w:t>
      </w:r>
      <w:r>
        <w:rPr>
          <w:rFonts w:hint="eastAsia" w:ascii="Times New Roman" w:hAnsi="Times New Roman" w:eastAsia="仿宋_GB2312" w:cs="Times New Roman"/>
          <w:kern w:val="0"/>
          <w:sz w:val="32"/>
          <w:szCs w:val="32"/>
          <w:lang w:val="zh-CN" w:eastAsia="zh-CN" w:bidi="zh-CN"/>
        </w:rPr>
        <w:t>在职人员控制率：定编2</w:t>
      </w:r>
      <w:r>
        <w:rPr>
          <w:rFonts w:hint="eastAsia" w:eastAsia="仿宋_GB2312" w:cs="Times New Roman"/>
          <w:kern w:val="0"/>
          <w:sz w:val="32"/>
          <w:szCs w:val="32"/>
          <w:lang w:val="en-US" w:eastAsia="zh-CN" w:bidi="zh-CN"/>
        </w:rPr>
        <w:t>9</w:t>
      </w:r>
      <w:r>
        <w:rPr>
          <w:rFonts w:hint="eastAsia" w:ascii="Times New Roman" w:hAnsi="Times New Roman" w:eastAsia="仿宋_GB2312" w:cs="Times New Roman"/>
          <w:kern w:val="0"/>
          <w:sz w:val="32"/>
          <w:szCs w:val="32"/>
          <w:lang w:val="zh-CN" w:eastAsia="zh-CN" w:bidi="zh-CN"/>
        </w:rPr>
        <w:t>人，在职2</w:t>
      </w:r>
      <w:r>
        <w:rPr>
          <w:rFonts w:hint="eastAsia" w:eastAsia="仿宋_GB2312" w:cs="Times New Roman"/>
          <w:kern w:val="0"/>
          <w:sz w:val="32"/>
          <w:szCs w:val="32"/>
          <w:lang w:val="en-US" w:eastAsia="zh-CN" w:bidi="zh-CN"/>
        </w:rPr>
        <w:t>5</w:t>
      </w:r>
      <w:r>
        <w:rPr>
          <w:rFonts w:hint="eastAsia" w:ascii="Times New Roman" w:hAnsi="Times New Roman" w:eastAsia="仿宋_GB2312" w:cs="Times New Roman"/>
          <w:kern w:val="0"/>
          <w:sz w:val="32"/>
          <w:szCs w:val="32"/>
          <w:lang w:val="zh-CN" w:eastAsia="zh-CN" w:bidi="zh-CN"/>
        </w:rPr>
        <w:t>人。在职人员控制率为</w:t>
      </w:r>
      <w:r>
        <w:rPr>
          <w:rFonts w:hint="eastAsia" w:eastAsia="仿宋_GB2312" w:cs="Times New Roman"/>
          <w:kern w:val="0"/>
          <w:sz w:val="32"/>
          <w:szCs w:val="32"/>
          <w:lang w:val="en-US" w:eastAsia="zh-CN" w:bidi="zh-CN"/>
        </w:rPr>
        <w:t>86.2</w:t>
      </w:r>
      <w:r>
        <w:rPr>
          <w:rFonts w:hint="eastAsia" w:ascii="Times New Roman" w:hAnsi="Times New Roman" w:eastAsia="仿宋_GB2312" w:cs="Times New Roman"/>
          <w:kern w:val="0"/>
          <w:sz w:val="32"/>
          <w:szCs w:val="32"/>
          <w:lang w:val="zh-CN" w:eastAsia="zh-CN" w:bidi="zh-CN"/>
        </w:rPr>
        <w:t>%，编制节余</w:t>
      </w:r>
      <w:r>
        <w:rPr>
          <w:rFonts w:hint="eastAsia" w:eastAsia="仿宋_GB2312" w:cs="Times New Roman"/>
          <w:kern w:val="0"/>
          <w:sz w:val="32"/>
          <w:szCs w:val="32"/>
          <w:lang w:val="en-US" w:eastAsia="zh-CN" w:bidi="zh-CN"/>
        </w:rPr>
        <w:t>4</w:t>
      </w:r>
      <w:r>
        <w:rPr>
          <w:rFonts w:hint="eastAsia" w:ascii="Times New Roman" w:hAnsi="Times New Roman" w:eastAsia="仿宋_GB2312" w:cs="Times New Roman"/>
          <w:kern w:val="0"/>
          <w:sz w:val="32"/>
          <w:szCs w:val="32"/>
          <w:lang w:val="zh-CN" w:eastAsia="zh-CN" w:bidi="zh-CN"/>
        </w:rPr>
        <w:t>人。</w:t>
      </w:r>
    </w:p>
    <w:p w14:paraId="6C225D1C">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kern w:val="0"/>
          <w:sz w:val="32"/>
          <w:szCs w:val="32"/>
          <w:lang w:val="zh-CN" w:eastAsia="zh-CN" w:bidi="zh-CN"/>
        </w:rPr>
      </w:pPr>
      <w:r>
        <w:rPr>
          <w:rFonts w:hint="eastAsia" w:eastAsia="仿宋_GB2312" w:cs="Times New Roman"/>
          <w:kern w:val="0"/>
          <w:sz w:val="32"/>
          <w:szCs w:val="32"/>
          <w:lang w:val="en-US" w:eastAsia="zh-CN" w:bidi="zh-CN"/>
        </w:rPr>
        <w:t>2.</w:t>
      </w:r>
      <w:r>
        <w:rPr>
          <w:rFonts w:hint="eastAsia" w:ascii="Times New Roman" w:hAnsi="Times New Roman" w:eastAsia="仿宋_GB2312" w:cs="Times New Roman"/>
          <w:kern w:val="0"/>
          <w:sz w:val="32"/>
          <w:szCs w:val="32"/>
          <w:lang w:val="zh-CN" w:eastAsia="zh-CN" w:bidi="zh-CN"/>
        </w:rPr>
        <w:t>“三公经费”变动率：202</w:t>
      </w:r>
      <w:r>
        <w:rPr>
          <w:rFonts w:hint="eastAsia" w:eastAsia="仿宋_GB2312" w:cs="Times New Roman"/>
          <w:kern w:val="0"/>
          <w:sz w:val="32"/>
          <w:szCs w:val="32"/>
          <w:lang w:val="en-US" w:eastAsia="zh-CN" w:bidi="zh-CN"/>
        </w:rPr>
        <w:t>1</w:t>
      </w:r>
      <w:r>
        <w:rPr>
          <w:rFonts w:hint="eastAsia" w:ascii="Times New Roman" w:hAnsi="Times New Roman" w:eastAsia="仿宋_GB2312" w:cs="Times New Roman"/>
          <w:kern w:val="0"/>
          <w:sz w:val="32"/>
          <w:szCs w:val="32"/>
          <w:lang w:val="zh-CN" w:eastAsia="zh-CN" w:bidi="zh-CN"/>
        </w:rPr>
        <w:t>年“三公经费”预算5万元，202</w:t>
      </w:r>
      <w:r>
        <w:rPr>
          <w:rFonts w:hint="eastAsia" w:eastAsia="仿宋_GB2312" w:cs="Times New Roman"/>
          <w:kern w:val="0"/>
          <w:sz w:val="32"/>
          <w:szCs w:val="32"/>
          <w:lang w:val="en-US" w:eastAsia="zh-CN" w:bidi="zh-CN"/>
        </w:rPr>
        <w:t>2</w:t>
      </w:r>
      <w:r>
        <w:rPr>
          <w:rFonts w:hint="eastAsia" w:ascii="Times New Roman" w:hAnsi="Times New Roman" w:eastAsia="仿宋_GB2312" w:cs="Times New Roman"/>
          <w:kern w:val="0"/>
          <w:sz w:val="32"/>
          <w:szCs w:val="32"/>
          <w:lang w:val="zh-CN" w:eastAsia="zh-CN" w:bidi="zh-CN"/>
        </w:rPr>
        <w:t>年“三公经费”预算5万元，与上年持平。</w:t>
      </w:r>
    </w:p>
    <w:p w14:paraId="69C0F78A">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kern w:val="0"/>
          <w:sz w:val="32"/>
          <w:szCs w:val="32"/>
          <w:lang w:val="zh-CN" w:eastAsia="zh-CN" w:bidi="zh-CN"/>
        </w:rPr>
      </w:pPr>
      <w:r>
        <w:rPr>
          <w:rFonts w:hint="eastAsia" w:ascii="Times New Roman" w:hAnsi="Times New Roman" w:eastAsia="仿宋_GB2312" w:cs="Times New Roman"/>
          <w:kern w:val="0"/>
          <w:sz w:val="32"/>
          <w:szCs w:val="32"/>
          <w:lang w:val="zh-CN" w:eastAsia="zh-CN" w:bidi="zh-CN"/>
        </w:rPr>
        <w:t>满分</w:t>
      </w:r>
      <w:r>
        <w:rPr>
          <w:rFonts w:hint="eastAsia" w:eastAsia="仿宋_GB2312" w:cs="Times New Roman"/>
          <w:kern w:val="0"/>
          <w:sz w:val="32"/>
          <w:szCs w:val="32"/>
          <w:lang w:val="en-US" w:eastAsia="zh-CN" w:bidi="zh-CN"/>
        </w:rPr>
        <w:t>5</w:t>
      </w:r>
      <w:r>
        <w:rPr>
          <w:rFonts w:hint="eastAsia" w:ascii="Times New Roman" w:hAnsi="Times New Roman" w:eastAsia="仿宋_GB2312" w:cs="Times New Roman"/>
          <w:kern w:val="0"/>
          <w:sz w:val="32"/>
          <w:szCs w:val="32"/>
          <w:lang w:val="zh-CN" w:eastAsia="zh-CN" w:bidi="zh-CN"/>
        </w:rPr>
        <w:t>分，得分</w:t>
      </w:r>
      <w:r>
        <w:rPr>
          <w:rFonts w:hint="eastAsia" w:eastAsia="仿宋_GB2312" w:cs="Times New Roman"/>
          <w:kern w:val="0"/>
          <w:sz w:val="32"/>
          <w:szCs w:val="32"/>
          <w:lang w:val="en-US" w:eastAsia="zh-CN" w:bidi="zh-CN"/>
        </w:rPr>
        <w:t>5</w:t>
      </w:r>
      <w:r>
        <w:rPr>
          <w:rFonts w:hint="eastAsia" w:ascii="Times New Roman" w:hAnsi="Times New Roman" w:eastAsia="仿宋_GB2312" w:cs="Times New Roman"/>
          <w:kern w:val="0"/>
          <w:sz w:val="32"/>
          <w:szCs w:val="32"/>
          <w:lang w:val="zh-CN" w:eastAsia="zh-CN" w:bidi="zh-CN"/>
        </w:rPr>
        <w:t>分。</w:t>
      </w:r>
    </w:p>
    <w:p w14:paraId="76EAB72E">
      <w:pPr>
        <w:pStyle w:val="23"/>
        <w:keepNext/>
        <w:keepLines/>
        <w:pageBreakBefore w:val="0"/>
        <w:widowControl w:val="0"/>
        <w:kinsoku/>
        <w:wordWrap/>
        <w:overflowPunct/>
        <w:topLinePunct w:val="0"/>
        <w:autoSpaceDE w:val="0"/>
        <w:autoSpaceDN w:val="0"/>
        <w:bidi w:val="0"/>
        <w:adjustRightInd w:val="0"/>
        <w:snapToGrid w:val="0"/>
        <w:spacing w:before="0" w:after="0" w:line="600" w:lineRule="exact"/>
        <w:ind w:right="0"/>
        <w:textAlignment w:val="auto"/>
        <w:rPr>
          <w:rFonts w:hint="eastAsia"/>
          <w:lang w:val="en-US" w:eastAsia="zh-CN"/>
        </w:rPr>
      </w:pPr>
      <w:bookmarkStart w:id="5" w:name="_Toc5001"/>
      <w:bookmarkStart w:id="6" w:name="_Toc6976"/>
      <w:r>
        <w:rPr>
          <w:rFonts w:hint="eastAsia"/>
          <w:lang w:val="en-US" w:eastAsia="zh-CN"/>
        </w:rPr>
        <w:t>（三）预算执行</w:t>
      </w:r>
      <w:bookmarkEnd w:id="5"/>
      <w:r>
        <w:rPr>
          <w:rFonts w:hint="eastAsia"/>
          <w:lang w:val="en-US" w:eastAsia="zh-CN"/>
        </w:rPr>
        <w:t>10分</w:t>
      </w:r>
      <w:bookmarkEnd w:id="6"/>
    </w:p>
    <w:p w14:paraId="5E5D84B1">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b w:val="0"/>
          <w:bCs w:val="0"/>
          <w:kern w:val="0"/>
          <w:sz w:val="32"/>
          <w:szCs w:val="32"/>
          <w:lang w:val="zh-CN" w:eastAsia="zh-CN" w:bidi="zh-CN"/>
        </w:rPr>
      </w:pPr>
      <w:bookmarkStart w:id="7" w:name="_Toc7514"/>
      <w:bookmarkStart w:id="8" w:name="_Toc28820"/>
      <w:bookmarkStart w:id="9" w:name="_Toc14872"/>
      <w:bookmarkStart w:id="10" w:name="_Toc16116"/>
      <w:bookmarkStart w:id="11" w:name="_Toc26260"/>
      <w:r>
        <w:rPr>
          <w:rFonts w:hint="eastAsia" w:ascii="Times New Roman" w:hAnsi="Times New Roman" w:eastAsia="仿宋_GB2312" w:cs="Times New Roman"/>
          <w:b w:val="0"/>
          <w:bCs w:val="0"/>
          <w:kern w:val="0"/>
          <w:sz w:val="32"/>
          <w:szCs w:val="32"/>
          <w:lang w:val="zh-CN" w:eastAsia="zh-CN" w:bidi="zh-CN"/>
        </w:rPr>
        <w:t>1.预算完成</w:t>
      </w:r>
      <w:bookmarkEnd w:id="7"/>
      <w:bookmarkEnd w:id="8"/>
      <w:bookmarkEnd w:id="9"/>
      <w:bookmarkEnd w:id="10"/>
      <w:bookmarkEnd w:id="11"/>
      <w:bookmarkStart w:id="12" w:name="_Toc16019"/>
      <w:r>
        <w:rPr>
          <w:rFonts w:hint="eastAsia" w:ascii="Times New Roman" w:hAnsi="Times New Roman" w:eastAsia="仿宋_GB2312" w:cs="Times New Roman"/>
          <w:b w:val="0"/>
          <w:bCs w:val="0"/>
          <w:kern w:val="0"/>
          <w:sz w:val="32"/>
          <w:szCs w:val="32"/>
          <w:lang w:val="zh-CN" w:eastAsia="zh-CN" w:bidi="zh-CN"/>
        </w:rPr>
        <w:t>率</w:t>
      </w:r>
      <w:bookmarkStart w:id="13" w:name="_Toc30961"/>
      <w:bookmarkStart w:id="14" w:name="_Toc9496"/>
      <w:bookmarkStart w:id="15" w:name="_Toc19103"/>
      <w:bookmarkStart w:id="16" w:name="_Toc9017"/>
      <w:r>
        <w:rPr>
          <w:rFonts w:hint="eastAsia" w:eastAsia="仿宋_GB2312" w:cs="Times New Roman"/>
          <w:b w:val="0"/>
          <w:bCs w:val="0"/>
          <w:kern w:val="0"/>
          <w:sz w:val="32"/>
          <w:szCs w:val="32"/>
          <w:lang w:val="zh-CN" w:eastAsia="zh-CN" w:bidi="zh-CN"/>
        </w:rPr>
        <w:t>：</w:t>
      </w:r>
      <w:r>
        <w:rPr>
          <w:rFonts w:hint="eastAsia" w:eastAsia="仿宋_GB2312" w:cs="Times New Roman"/>
          <w:b w:val="0"/>
          <w:bCs w:val="0"/>
          <w:kern w:val="0"/>
          <w:sz w:val="32"/>
          <w:szCs w:val="32"/>
          <w:lang w:val="en-US" w:eastAsia="zh-CN" w:bidi="zh-CN"/>
        </w:rPr>
        <w:t>2022年全年预</w:t>
      </w:r>
      <w:r>
        <w:rPr>
          <w:rFonts w:hint="eastAsia" w:ascii="Times New Roman" w:hAnsi="Times New Roman" w:eastAsia="仿宋_GB2312" w:cs="Times New Roman"/>
          <w:b w:val="0"/>
          <w:bCs w:val="0"/>
          <w:kern w:val="0"/>
          <w:sz w:val="32"/>
          <w:szCs w:val="32"/>
          <w:lang w:val="zh-CN" w:eastAsia="zh-CN" w:bidi="zh-CN"/>
        </w:rPr>
        <w:t>算收入</w:t>
      </w:r>
      <w:r>
        <w:rPr>
          <w:rFonts w:hint="eastAsia" w:ascii="Times New Roman" w:hAnsi="Times New Roman" w:eastAsia="仿宋_GB2312" w:cs="Times New Roman"/>
          <w:b w:val="0"/>
          <w:bCs w:val="0"/>
          <w:kern w:val="0"/>
          <w:sz w:val="32"/>
          <w:szCs w:val="32"/>
          <w:lang w:val="en-US" w:eastAsia="zh-CN" w:bidi="zh-CN"/>
        </w:rPr>
        <w:t>1311.45</w:t>
      </w:r>
      <w:r>
        <w:rPr>
          <w:rFonts w:hint="eastAsia" w:ascii="Times New Roman" w:hAnsi="Times New Roman" w:eastAsia="仿宋_GB2312" w:cs="Times New Roman"/>
          <w:b w:val="0"/>
          <w:bCs w:val="0"/>
          <w:kern w:val="0"/>
          <w:sz w:val="32"/>
          <w:szCs w:val="32"/>
          <w:lang w:val="zh-CN" w:eastAsia="zh-CN" w:bidi="zh-CN"/>
        </w:rPr>
        <w:t>万元，202</w:t>
      </w:r>
      <w:r>
        <w:rPr>
          <w:rFonts w:hint="eastAsia" w:eastAsia="仿宋_GB2312" w:cs="Times New Roman"/>
          <w:b w:val="0"/>
          <w:bCs w:val="0"/>
          <w:kern w:val="0"/>
          <w:sz w:val="32"/>
          <w:szCs w:val="32"/>
          <w:lang w:val="en-US" w:eastAsia="zh-CN" w:bidi="zh-CN"/>
        </w:rPr>
        <w:t>2</w:t>
      </w:r>
      <w:r>
        <w:rPr>
          <w:rFonts w:hint="eastAsia" w:ascii="Times New Roman" w:hAnsi="Times New Roman" w:eastAsia="仿宋_GB2312" w:cs="Times New Roman"/>
          <w:b w:val="0"/>
          <w:bCs w:val="0"/>
          <w:kern w:val="0"/>
          <w:sz w:val="32"/>
          <w:szCs w:val="32"/>
          <w:lang w:val="zh-CN" w:eastAsia="zh-CN" w:bidi="zh-CN"/>
        </w:rPr>
        <w:t>年</w:t>
      </w:r>
      <w:r>
        <w:rPr>
          <w:rFonts w:hint="eastAsia" w:eastAsia="仿宋_GB2312" w:cs="Times New Roman"/>
          <w:b w:val="0"/>
          <w:bCs w:val="0"/>
          <w:kern w:val="0"/>
          <w:sz w:val="32"/>
          <w:szCs w:val="32"/>
          <w:lang w:val="zh-CN" w:eastAsia="zh-CN" w:bidi="zh-CN"/>
        </w:rPr>
        <w:t>支出</w:t>
      </w:r>
      <w:r>
        <w:rPr>
          <w:rFonts w:hint="eastAsia" w:ascii="Times New Roman" w:hAnsi="Times New Roman" w:eastAsia="仿宋_GB2312" w:cs="Times New Roman"/>
          <w:b w:val="0"/>
          <w:bCs w:val="0"/>
          <w:kern w:val="0"/>
          <w:sz w:val="32"/>
          <w:szCs w:val="32"/>
          <w:lang w:val="en-US" w:eastAsia="zh-CN" w:bidi="zh-CN"/>
        </w:rPr>
        <w:t>1311.45</w:t>
      </w:r>
      <w:r>
        <w:rPr>
          <w:rFonts w:hint="eastAsia" w:ascii="Times New Roman" w:hAnsi="Times New Roman" w:eastAsia="仿宋_GB2312" w:cs="Times New Roman"/>
          <w:b w:val="0"/>
          <w:bCs w:val="0"/>
          <w:kern w:val="0"/>
          <w:sz w:val="32"/>
          <w:szCs w:val="32"/>
          <w:lang w:val="zh-CN" w:eastAsia="zh-CN" w:bidi="zh-CN"/>
        </w:rPr>
        <w:t>万元</w:t>
      </w:r>
      <w:bookmarkEnd w:id="12"/>
      <w:bookmarkEnd w:id="13"/>
      <w:bookmarkEnd w:id="14"/>
      <w:bookmarkEnd w:id="15"/>
      <w:bookmarkEnd w:id="16"/>
      <w:r>
        <w:rPr>
          <w:rFonts w:hint="eastAsia" w:eastAsia="仿宋_GB2312" w:cs="Times New Roman"/>
          <w:b w:val="0"/>
          <w:bCs w:val="0"/>
          <w:kern w:val="0"/>
          <w:sz w:val="32"/>
          <w:szCs w:val="32"/>
          <w:lang w:val="zh-CN" w:eastAsia="zh-CN" w:bidi="zh-CN"/>
        </w:rPr>
        <w:t>，执行率</w:t>
      </w:r>
      <w:r>
        <w:rPr>
          <w:rFonts w:hint="eastAsia" w:eastAsia="仿宋_GB2312" w:cs="Times New Roman"/>
          <w:b w:val="0"/>
          <w:bCs w:val="0"/>
          <w:kern w:val="0"/>
          <w:sz w:val="32"/>
          <w:szCs w:val="32"/>
          <w:lang w:val="en-US" w:eastAsia="zh-CN" w:bidi="zh-CN"/>
        </w:rPr>
        <w:t>100%。</w:t>
      </w:r>
      <w:r>
        <w:rPr>
          <w:rFonts w:hint="eastAsia" w:ascii="Times New Roman" w:hAnsi="Times New Roman" w:eastAsia="仿宋_GB2312" w:cs="Times New Roman"/>
          <w:b w:val="0"/>
          <w:bCs w:val="0"/>
          <w:kern w:val="0"/>
          <w:sz w:val="32"/>
          <w:szCs w:val="32"/>
          <w:lang w:val="zh-CN" w:eastAsia="zh-CN" w:bidi="zh-CN"/>
        </w:rPr>
        <w:t>满分2分，得分</w:t>
      </w:r>
      <w:r>
        <w:rPr>
          <w:rFonts w:hint="eastAsia" w:eastAsia="仿宋_GB2312" w:cs="Times New Roman"/>
          <w:b w:val="0"/>
          <w:bCs w:val="0"/>
          <w:kern w:val="0"/>
          <w:sz w:val="32"/>
          <w:szCs w:val="32"/>
          <w:lang w:val="en-US" w:eastAsia="zh-CN" w:bidi="zh-CN"/>
        </w:rPr>
        <w:t>2</w:t>
      </w:r>
      <w:r>
        <w:rPr>
          <w:rFonts w:hint="eastAsia" w:ascii="Times New Roman" w:hAnsi="Times New Roman" w:eastAsia="仿宋_GB2312" w:cs="Times New Roman"/>
          <w:b w:val="0"/>
          <w:bCs w:val="0"/>
          <w:kern w:val="0"/>
          <w:sz w:val="32"/>
          <w:szCs w:val="32"/>
          <w:lang w:val="zh-CN" w:eastAsia="zh-CN" w:bidi="zh-CN"/>
        </w:rPr>
        <w:t>分。</w:t>
      </w:r>
    </w:p>
    <w:p w14:paraId="12AC23C5">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b w:val="0"/>
          <w:bCs w:val="0"/>
          <w:kern w:val="0"/>
          <w:sz w:val="32"/>
          <w:szCs w:val="32"/>
          <w:lang w:val="zh-CN" w:eastAsia="zh-CN" w:bidi="zh-CN"/>
        </w:rPr>
      </w:pPr>
      <w:r>
        <w:rPr>
          <w:rFonts w:hint="eastAsia" w:eastAsia="仿宋_GB2312" w:cs="Times New Roman"/>
          <w:b w:val="0"/>
          <w:bCs w:val="0"/>
          <w:kern w:val="0"/>
          <w:sz w:val="32"/>
          <w:szCs w:val="32"/>
          <w:lang w:val="en-US" w:eastAsia="zh-CN" w:bidi="zh-CN"/>
        </w:rPr>
        <w:t>2.</w:t>
      </w:r>
      <w:r>
        <w:rPr>
          <w:rFonts w:hint="eastAsia" w:ascii="Times New Roman" w:hAnsi="Times New Roman" w:eastAsia="仿宋_GB2312" w:cs="Times New Roman"/>
          <w:b w:val="0"/>
          <w:bCs w:val="0"/>
          <w:kern w:val="0"/>
          <w:sz w:val="32"/>
          <w:szCs w:val="32"/>
          <w:lang w:val="zh-CN" w:eastAsia="zh-CN" w:bidi="zh-CN"/>
        </w:rPr>
        <w:t>支付进度</w:t>
      </w:r>
      <w:r>
        <w:rPr>
          <w:rFonts w:hint="eastAsia" w:eastAsia="仿宋_GB2312" w:cs="Times New Roman"/>
          <w:b w:val="0"/>
          <w:bCs w:val="0"/>
          <w:kern w:val="0"/>
          <w:sz w:val="32"/>
          <w:szCs w:val="32"/>
          <w:lang w:val="zh-CN" w:eastAsia="zh-CN" w:bidi="zh-CN"/>
        </w:rPr>
        <w:t>：</w:t>
      </w:r>
      <w:r>
        <w:rPr>
          <w:rFonts w:hint="eastAsia" w:eastAsia="仿宋_GB2312" w:cs="Times New Roman"/>
          <w:b w:val="0"/>
          <w:bCs w:val="0"/>
          <w:kern w:val="0"/>
          <w:sz w:val="32"/>
          <w:szCs w:val="32"/>
          <w:lang w:val="en-US" w:eastAsia="zh-CN" w:bidi="zh-CN"/>
        </w:rPr>
        <w:t>2022年支付进度100%。</w:t>
      </w:r>
      <w:r>
        <w:rPr>
          <w:rFonts w:hint="eastAsia" w:ascii="Times New Roman" w:hAnsi="Times New Roman" w:eastAsia="仿宋_GB2312" w:cs="Times New Roman"/>
          <w:b w:val="0"/>
          <w:bCs w:val="0"/>
          <w:kern w:val="0"/>
          <w:sz w:val="32"/>
          <w:szCs w:val="32"/>
          <w:lang w:val="zh-CN" w:eastAsia="zh-CN" w:bidi="zh-CN"/>
        </w:rPr>
        <w:t>满分</w:t>
      </w:r>
      <w:r>
        <w:rPr>
          <w:rFonts w:hint="eastAsia" w:eastAsia="仿宋_GB2312" w:cs="Times New Roman"/>
          <w:b w:val="0"/>
          <w:bCs w:val="0"/>
          <w:kern w:val="0"/>
          <w:sz w:val="32"/>
          <w:szCs w:val="32"/>
          <w:lang w:val="en-US" w:eastAsia="zh-CN" w:bidi="zh-CN"/>
        </w:rPr>
        <w:t>2</w:t>
      </w:r>
      <w:r>
        <w:rPr>
          <w:rFonts w:hint="eastAsia" w:ascii="Times New Roman" w:hAnsi="Times New Roman" w:eastAsia="仿宋_GB2312" w:cs="Times New Roman"/>
          <w:b w:val="0"/>
          <w:bCs w:val="0"/>
          <w:kern w:val="0"/>
          <w:sz w:val="32"/>
          <w:szCs w:val="32"/>
          <w:lang w:val="zh-CN" w:eastAsia="zh-CN" w:bidi="zh-CN"/>
        </w:rPr>
        <w:t>分，得分</w:t>
      </w:r>
      <w:r>
        <w:rPr>
          <w:rFonts w:hint="eastAsia" w:eastAsia="仿宋_GB2312" w:cs="Times New Roman"/>
          <w:b w:val="0"/>
          <w:bCs w:val="0"/>
          <w:kern w:val="0"/>
          <w:sz w:val="32"/>
          <w:szCs w:val="32"/>
          <w:lang w:val="en-US" w:eastAsia="zh-CN" w:bidi="zh-CN"/>
        </w:rPr>
        <w:t>2</w:t>
      </w:r>
      <w:r>
        <w:rPr>
          <w:rFonts w:hint="eastAsia" w:ascii="Times New Roman" w:hAnsi="Times New Roman" w:eastAsia="仿宋_GB2312" w:cs="Times New Roman"/>
          <w:b w:val="0"/>
          <w:bCs w:val="0"/>
          <w:kern w:val="0"/>
          <w:sz w:val="32"/>
          <w:szCs w:val="32"/>
          <w:lang w:val="zh-CN" w:eastAsia="zh-CN" w:bidi="zh-CN"/>
        </w:rPr>
        <w:t>分。</w:t>
      </w:r>
    </w:p>
    <w:p w14:paraId="4D44A8A1">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b w:val="0"/>
          <w:bCs w:val="0"/>
          <w:kern w:val="0"/>
          <w:sz w:val="32"/>
          <w:szCs w:val="32"/>
          <w:lang w:val="zh-CN" w:eastAsia="zh-CN" w:bidi="zh-CN"/>
        </w:rPr>
      </w:pPr>
      <w:r>
        <w:rPr>
          <w:rFonts w:hint="eastAsia" w:eastAsia="仿宋_GB2312" w:cs="Times New Roman"/>
          <w:b w:val="0"/>
          <w:bCs w:val="0"/>
          <w:kern w:val="0"/>
          <w:sz w:val="32"/>
          <w:szCs w:val="32"/>
          <w:lang w:val="en-US" w:eastAsia="zh-CN" w:bidi="zh-CN"/>
        </w:rPr>
        <w:t>3.</w:t>
      </w:r>
      <w:r>
        <w:rPr>
          <w:rFonts w:hint="eastAsia" w:ascii="Times New Roman" w:hAnsi="Times New Roman" w:eastAsia="仿宋_GB2312" w:cs="Times New Roman"/>
          <w:b w:val="0"/>
          <w:bCs w:val="0"/>
          <w:kern w:val="0"/>
          <w:sz w:val="32"/>
          <w:szCs w:val="32"/>
          <w:lang w:val="zh-CN" w:eastAsia="zh-CN" w:bidi="zh-CN"/>
        </w:rPr>
        <w:t>“三公经费”控制率</w:t>
      </w:r>
      <w:r>
        <w:rPr>
          <w:rFonts w:hint="eastAsia" w:eastAsia="仿宋_GB2312" w:cs="Times New Roman"/>
          <w:b w:val="0"/>
          <w:bCs w:val="0"/>
          <w:kern w:val="0"/>
          <w:sz w:val="32"/>
          <w:szCs w:val="32"/>
          <w:lang w:val="zh-CN" w:eastAsia="zh-CN" w:bidi="zh-CN"/>
        </w:rPr>
        <w:t>：</w:t>
      </w:r>
      <w:r>
        <w:rPr>
          <w:rFonts w:hint="eastAsia" w:eastAsia="仿宋_GB2312" w:cs="Times New Roman"/>
          <w:b w:val="0"/>
          <w:bCs w:val="0"/>
          <w:kern w:val="0"/>
          <w:sz w:val="32"/>
          <w:szCs w:val="32"/>
          <w:lang w:val="en-US" w:eastAsia="zh-CN" w:bidi="zh-CN"/>
        </w:rPr>
        <w:t>2022年</w:t>
      </w:r>
      <w:r>
        <w:rPr>
          <w:rFonts w:hint="eastAsia" w:ascii="Times New Roman" w:hAnsi="Times New Roman" w:eastAsia="仿宋_GB2312" w:cs="Times New Roman"/>
          <w:b w:val="0"/>
          <w:bCs w:val="0"/>
          <w:kern w:val="0"/>
          <w:sz w:val="32"/>
          <w:szCs w:val="32"/>
          <w:lang w:val="zh-CN" w:eastAsia="zh-CN" w:bidi="zh-CN"/>
        </w:rPr>
        <w:t>“三公”经费预算为5万元，年度决算为</w:t>
      </w:r>
      <w:r>
        <w:rPr>
          <w:rFonts w:hint="eastAsia" w:eastAsia="仿宋_GB2312" w:cs="Times New Roman"/>
          <w:b w:val="0"/>
          <w:bCs w:val="0"/>
          <w:kern w:val="0"/>
          <w:sz w:val="32"/>
          <w:szCs w:val="32"/>
          <w:lang w:val="en-US" w:eastAsia="zh-CN" w:bidi="zh-CN"/>
        </w:rPr>
        <w:t>4.34</w:t>
      </w:r>
      <w:r>
        <w:rPr>
          <w:rFonts w:hint="eastAsia" w:ascii="Times New Roman" w:hAnsi="Times New Roman" w:eastAsia="仿宋_GB2312" w:cs="Times New Roman"/>
          <w:b w:val="0"/>
          <w:bCs w:val="0"/>
          <w:kern w:val="0"/>
          <w:sz w:val="32"/>
          <w:szCs w:val="32"/>
          <w:lang w:val="zh-CN" w:eastAsia="zh-CN" w:bidi="zh-CN"/>
        </w:rPr>
        <w:t>万元，控制率为</w:t>
      </w:r>
      <w:r>
        <w:rPr>
          <w:rFonts w:hint="eastAsia" w:eastAsia="仿宋_GB2312" w:cs="Times New Roman"/>
          <w:b w:val="0"/>
          <w:bCs w:val="0"/>
          <w:kern w:val="0"/>
          <w:sz w:val="32"/>
          <w:szCs w:val="32"/>
          <w:lang w:val="en-US" w:eastAsia="zh-CN" w:bidi="zh-CN"/>
        </w:rPr>
        <w:t>86.8</w:t>
      </w:r>
      <w:r>
        <w:rPr>
          <w:rFonts w:hint="eastAsia" w:ascii="Times New Roman" w:hAnsi="Times New Roman" w:eastAsia="仿宋_GB2312" w:cs="Times New Roman"/>
          <w:b w:val="0"/>
          <w:bCs w:val="0"/>
          <w:kern w:val="0"/>
          <w:sz w:val="32"/>
          <w:szCs w:val="32"/>
          <w:lang w:val="zh-CN" w:eastAsia="zh-CN" w:bidi="zh-CN"/>
        </w:rPr>
        <w:t>%。满分2分，得分2分</w:t>
      </w:r>
      <w:r>
        <w:rPr>
          <w:rFonts w:hint="eastAsia" w:eastAsia="仿宋_GB2312" w:cs="Times New Roman"/>
          <w:b w:val="0"/>
          <w:bCs w:val="0"/>
          <w:kern w:val="0"/>
          <w:sz w:val="32"/>
          <w:szCs w:val="32"/>
          <w:lang w:val="zh-CN" w:eastAsia="zh-CN" w:bidi="zh-CN"/>
        </w:rPr>
        <w:t>。</w:t>
      </w:r>
    </w:p>
    <w:p w14:paraId="31CE7608">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b w:val="0"/>
          <w:bCs w:val="0"/>
          <w:kern w:val="0"/>
          <w:sz w:val="32"/>
          <w:szCs w:val="32"/>
          <w:lang w:val="zh-CN" w:eastAsia="zh-CN" w:bidi="zh-CN"/>
        </w:rPr>
      </w:pPr>
      <w:r>
        <w:rPr>
          <w:rFonts w:hint="eastAsia" w:eastAsia="仿宋_GB2312" w:cs="Times New Roman"/>
          <w:b w:val="0"/>
          <w:bCs w:val="0"/>
          <w:kern w:val="0"/>
          <w:sz w:val="32"/>
          <w:szCs w:val="32"/>
          <w:lang w:val="en-US" w:eastAsia="zh-CN" w:bidi="zh-CN"/>
        </w:rPr>
        <w:t>4.</w:t>
      </w:r>
      <w:r>
        <w:rPr>
          <w:rFonts w:hint="eastAsia" w:ascii="Times New Roman" w:hAnsi="Times New Roman" w:eastAsia="仿宋_GB2312" w:cs="Times New Roman"/>
          <w:b w:val="0"/>
          <w:bCs w:val="0"/>
          <w:kern w:val="0"/>
          <w:sz w:val="32"/>
          <w:szCs w:val="32"/>
          <w:lang w:val="zh-CN" w:eastAsia="zh-CN" w:bidi="zh-CN"/>
        </w:rPr>
        <w:t>政府采购节资率</w:t>
      </w:r>
      <w:r>
        <w:rPr>
          <w:rFonts w:hint="eastAsia" w:eastAsia="仿宋_GB2312" w:cs="Times New Roman"/>
          <w:b w:val="0"/>
          <w:bCs w:val="0"/>
          <w:kern w:val="0"/>
          <w:sz w:val="32"/>
          <w:szCs w:val="32"/>
          <w:lang w:val="zh-CN" w:eastAsia="zh-CN" w:bidi="zh-CN"/>
        </w:rPr>
        <w:t>：</w:t>
      </w:r>
      <w:r>
        <w:rPr>
          <w:rFonts w:hint="eastAsia" w:ascii="Times New Roman" w:hAnsi="Times New Roman" w:eastAsia="仿宋_GB2312" w:cs="Times New Roman"/>
          <w:b w:val="0"/>
          <w:bCs w:val="0"/>
          <w:kern w:val="0"/>
          <w:sz w:val="32"/>
          <w:szCs w:val="32"/>
          <w:lang w:val="zh-CN" w:eastAsia="zh-CN" w:bidi="zh-CN"/>
        </w:rPr>
        <w:t>未超支。满分</w:t>
      </w:r>
      <w:r>
        <w:rPr>
          <w:rFonts w:hint="eastAsia" w:eastAsia="仿宋_GB2312" w:cs="Times New Roman"/>
          <w:b w:val="0"/>
          <w:bCs w:val="0"/>
          <w:kern w:val="0"/>
          <w:sz w:val="32"/>
          <w:szCs w:val="32"/>
          <w:lang w:val="en-US" w:eastAsia="zh-CN" w:bidi="zh-CN"/>
        </w:rPr>
        <w:t>2</w:t>
      </w:r>
      <w:r>
        <w:rPr>
          <w:rFonts w:hint="eastAsia" w:ascii="Times New Roman" w:hAnsi="Times New Roman" w:eastAsia="仿宋_GB2312" w:cs="Times New Roman"/>
          <w:b w:val="0"/>
          <w:bCs w:val="0"/>
          <w:kern w:val="0"/>
          <w:sz w:val="32"/>
          <w:szCs w:val="32"/>
          <w:lang w:val="zh-CN" w:eastAsia="zh-CN" w:bidi="zh-CN"/>
        </w:rPr>
        <w:t>分，得分</w:t>
      </w:r>
      <w:r>
        <w:rPr>
          <w:rFonts w:hint="eastAsia" w:eastAsia="仿宋_GB2312" w:cs="Times New Roman"/>
          <w:b w:val="0"/>
          <w:bCs w:val="0"/>
          <w:kern w:val="0"/>
          <w:sz w:val="32"/>
          <w:szCs w:val="32"/>
          <w:lang w:val="en-US" w:eastAsia="zh-CN" w:bidi="zh-CN"/>
        </w:rPr>
        <w:t>2</w:t>
      </w:r>
      <w:r>
        <w:rPr>
          <w:rFonts w:hint="eastAsia" w:ascii="Times New Roman" w:hAnsi="Times New Roman" w:eastAsia="仿宋_GB2312" w:cs="Times New Roman"/>
          <w:b w:val="0"/>
          <w:bCs w:val="0"/>
          <w:kern w:val="0"/>
          <w:sz w:val="32"/>
          <w:szCs w:val="32"/>
          <w:lang w:val="zh-CN" w:eastAsia="zh-CN" w:bidi="zh-CN"/>
        </w:rPr>
        <w:t>分。</w:t>
      </w:r>
    </w:p>
    <w:p w14:paraId="472CC640">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kern w:val="0"/>
          <w:sz w:val="32"/>
          <w:szCs w:val="32"/>
          <w:lang w:val="zh-CN" w:eastAsia="zh-CN" w:bidi="zh-CN"/>
        </w:rPr>
      </w:pPr>
      <w:r>
        <w:rPr>
          <w:rFonts w:hint="eastAsia" w:eastAsia="仿宋_GB2312" w:cs="Times New Roman"/>
          <w:b w:val="0"/>
          <w:bCs w:val="0"/>
          <w:kern w:val="0"/>
          <w:sz w:val="32"/>
          <w:szCs w:val="32"/>
          <w:lang w:val="en-US" w:eastAsia="zh-CN" w:bidi="zh-CN"/>
        </w:rPr>
        <w:t>5.</w:t>
      </w:r>
      <w:r>
        <w:rPr>
          <w:rFonts w:hint="eastAsia" w:ascii="Times New Roman" w:hAnsi="Times New Roman" w:eastAsia="仿宋_GB2312" w:cs="Times New Roman"/>
          <w:b w:val="0"/>
          <w:bCs w:val="0"/>
          <w:kern w:val="0"/>
          <w:sz w:val="32"/>
          <w:szCs w:val="32"/>
          <w:lang w:val="zh-CN" w:eastAsia="zh-CN" w:bidi="zh-CN"/>
        </w:rPr>
        <w:t>政府采购执行率</w:t>
      </w:r>
      <w:r>
        <w:rPr>
          <w:rFonts w:hint="eastAsia" w:eastAsia="仿宋_GB2312" w:cs="Times New Roman"/>
          <w:b w:val="0"/>
          <w:bCs w:val="0"/>
          <w:kern w:val="0"/>
          <w:sz w:val="32"/>
          <w:szCs w:val="32"/>
          <w:lang w:val="zh-CN" w:eastAsia="zh-CN" w:bidi="zh-CN"/>
        </w:rPr>
        <w:t>：</w:t>
      </w:r>
      <w:r>
        <w:rPr>
          <w:rFonts w:hint="eastAsia" w:ascii="Times New Roman" w:hAnsi="Times New Roman" w:eastAsia="仿宋_GB2312" w:cs="Times New Roman"/>
          <w:b w:val="0"/>
          <w:bCs w:val="0"/>
          <w:kern w:val="0"/>
          <w:sz w:val="32"/>
          <w:szCs w:val="32"/>
          <w:lang w:val="zh-CN" w:eastAsia="zh-CN" w:bidi="zh-CN"/>
        </w:rPr>
        <w:t>政府采购，应采尽</w:t>
      </w:r>
      <w:r>
        <w:rPr>
          <w:rFonts w:hint="eastAsia" w:ascii="Times New Roman" w:hAnsi="Times New Roman" w:eastAsia="仿宋_GB2312" w:cs="Times New Roman"/>
          <w:kern w:val="0"/>
          <w:sz w:val="32"/>
          <w:szCs w:val="32"/>
          <w:lang w:val="zh-CN" w:eastAsia="zh-CN" w:bidi="zh-CN"/>
        </w:rPr>
        <w:t>采。满分2分，得分2分。</w:t>
      </w:r>
    </w:p>
    <w:p w14:paraId="457C64E7">
      <w:pPr>
        <w:pStyle w:val="23"/>
        <w:keepNext/>
        <w:keepLines/>
        <w:pageBreakBefore w:val="0"/>
        <w:widowControl w:val="0"/>
        <w:kinsoku/>
        <w:wordWrap/>
        <w:overflowPunct/>
        <w:topLinePunct w:val="0"/>
        <w:autoSpaceDE w:val="0"/>
        <w:autoSpaceDN w:val="0"/>
        <w:bidi w:val="0"/>
        <w:adjustRightInd w:val="0"/>
        <w:snapToGrid w:val="0"/>
        <w:spacing w:before="0" w:after="0" w:line="600" w:lineRule="exact"/>
        <w:ind w:right="0"/>
        <w:textAlignment w:val="auto"/>
        <w:rPr>
          <w:rFonts w:hint="eastAsia"/>
          <w:lang w:val="en-US" w:eastAsia="zh-CN"/>
        </w:rPr>
      </w:pPr>
      <w:bookmarkStart w:id="17" w:name="_Toc10836"/>
      <w:bookmarkStart w:id="18" w:name="_Toc3164"/>
      <w:r>
        <w:rPr>
          <w:rFonts w:hint="eastAsia"/>
          <w:lang w:val="en-US" w:eastAsia="zh-CN"/>
        </w:rPr>
        <w:t>（四）预算管理</w:t>
      </w:r>
      <w:bookmarkEnd w:id="17"/>
      <w:r>
        <w:rPr>
          <w:rFonts w:hint="eastAsia"/>
          <w:lang w:val="en-US" w:eastAsia="zh-CN"/>
        </w:rPr>
        <w:t>10分</w:t>
      </w:r>
      <w:bookmarkEnd w:id="18"/>
    </w:p>
    <w:p w14:paraId="02A4FDBA">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kern w:val="0"/>
          <w:sz w:val="32"/>
          <w:szCs w:val="32"/>
          <w:lang w:val="zh-CN" w:eastAsia="zh-CN" w:bidi="zh-CN"/>
        </w:rPr>
      </w:pPr>
      <w:r>
        <w:rPr>
          <w:rFonts w:hint="eastAsia" w:eastAsia="仿宋_GB2312" w:cs="Times New Roman"/>
          <w:kern w:val="0"/>
          <w:sz w:val="32"/>
          <w:szCs w:val="32"/>
          <w:lang w:val="en-US" w:eastAsia="zh-CN" w:bidi="zh-CN"/>
        </w:rPr>
        <w:t>1.</w:t>
      </w:r>
      <w:r>
        <w:rPr>
          <w:rFonts w:hint="eastAsia" w:ascii="Times New Roman" w:hAnsi="Times New Roman" w:eastAsia="仿宋_GB2312" w:cs="Times New Roman"/>
          <w:kern w:val="0"/>
          <w:sz w:val="32"/>
          <w:szCs w:val="32"/>
          <w:lang w:val="zh-CN" w:eastAsia="zh-CN" w:bidi="zh-CN"/>
        </w:rPr>
        <w:t>管理制度方面</w:t>
      </w:r>
      <w:r>
        <w:rPr>
          <w:rFonts w:hint="eastAsia" w:eastAsia="仿宋_GB2312" w:cs="Times New Roman"/>
          <w:kern w:val="0"/>
          <w:sz w:val="32"/>
          <w:szCs w:val="32"/>
          <w:lang w:val="zh-CN" w:eastAsia="zh-CN" w:bidi="zh-CN"/>
        </w:rPr>
        <w:t>：本单位有</w:t>
      </w:r>
      <w:r>
        <w:rPr>
          <w:rFonts w:hint="eastAsia" w:ascii="Times New Roman" w:hAnsi="Times New Roman" w:eastAsia="仿宋_GB2312" w:cs="Times New Roman"/>
          <w:kern w:val="0"/>
          <w:sz w:val="32"/>
          <w:szCs w:val="32"/>
          <w:lang w:val="zh-CN" w:eastAsia="zh-CN" w:bidi="zh-CN"/>
        </w:rPr>
        <w:t>设立内部财务管理制度等管理制度。满分2分，得分2分</w:t>
      </w:r>
      <w:r>
        <w:rPr>
          <w:rFonts w:hint="eastAsia" w:eastAsia="仿宋_GB2312" w:cs="Times New Roman"/>
          <w:kern w:val="0"/>
          <w:sz w:val="32"/>
          <w:szCs w:val="32"/>
          <w:lang w:val="zh-CN" w:eastAsia="zh-CN" w:bidi="zh-CN"/>
        </w:rPr>
        <w:t>。</w:t>
      </w:r>
    </w:p>
    <w:p w14:paraId="6F2A5F4C">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kern w:val="0"/>
          <w:sz w:val="32"/>
          <w:szCs w:val="32"/>
          <w:lang w:val="en-US" w:eastAsia="zh-CN" w:bidi="zh-CN"/>
        </w:rPr>
      </w:pPr>
      <w:r>
        <w:rPr>
          <w:rFonts w:hint="eastAsia" w:eastAsia="仿宋_GB2312" w:cs="Times New Roman"/>
          <w:kern w:val="0"/>
          <w:sz w:val="32"/>
          <w:szCs w:val="32"/>
          <w:lang w:val="en-US" w:eastAsia="zh-CN" w:bidi="zh-CN"/>
        </w:rPr>
        <w:t>2.</w:t>
      </w:r>
      <w:r>
        <w:rPr>
          <w:rFonts w:hint="eastAsia" w:ascii="Times New Roman" w:hAnsi="Times New Roman" w:eastAsia="仿宋_GB2312" w:cs="Times New Roman"/>
          <w:kern w:val="0"/>
          <w:sz w:val="32"/>
          <w:szCs w:val="32"/>
          <w:lang w:val="zh-CN" w:eastAsia="zh-CN" w:bidi="zh-CN"/>
        </w:rPr>
        <w:t>资金使用方面</w:t>
      </w:r>
      <w:r>
        <w:rPr>
          <w:rFonts w:hint="eastAsia" w:eastAsia="仿宋_GB2312" w:cs="Times New Roman"/>
          <w:kern w:val="0"/>
          <w:sz w:val="32"/>
          <w:szCs w:val="32"/>
          <w:lang w:val="zh-CN" w:eastAsia="zh-CN" w:bidi="zh-CN"/>
        </w:rPr>
        <w:t>：本单位充分发挥财政预算资金效益。</w:t>
      </w:r>
      <w:r>
        <w:rPr>
          <w:rFonts w:hint="eastAsia" w:ascii="Times New Roman" w:hAnsi="Times New Roman" w:eastAsia="仿宋_GB2312" w:cs="Times New Roman"/>
          <w:kern w:val="0"/>
          <w:sz w:val="32"/>
          <w:szCs w:val="32"/>
          <w:lang w:val="zh-CN" w:eastAsia="zh-CN" w:bidi="zh-CN"/>
        </w:rPr>
        <w:t>满分4分，得分</w:t>
      </w:r>
      <w:r>
        <w:rPr>
          <w:rFonts w:hint="eastAsia" w:eastAsia="仿宋_GB2312" w:cs="Times New Roman"/>
          <w:kern w:val="0"/>
          <w:sz w:val="32"/>
          <w:szCs w:val="32"/>
          <w:lang w:val="en-US" w:eastAsia="zh-CN" w:bidi="zh-CN"/>
        </w:rPr>
        <w:t>4</w:t>
      </w:r>
      <w:r>
        <w:rPr>
          <w:rFonts w:hint="eastAsia" w:ascii="Times New Roman" w:hAnsi="Times New Roman" w:eastAsia="仿宋_GB2312" w:cs="Times New Roman"/>
          <w:kern w:val="0"/>
          <w:sz w:val="32"/>
          <w:szCs w:val="32"/>
          <w:lang w:val="zh-CN" w:eastAsia="zh-CN" w:bidi="zh-CN"/>
        </w:rPr>
        <w:t>分</w:t>
      </w:r>
      <w:r>
        <w:rPr>
          <w:rFonts w:hint="eastAsia" w:eastAsia="仿宋_GB2312" w:cs="Times New Roman"/>
          <w:kern w:val="0"/>
          <w:sz w:val="32"/>
          <w:szCs w:val="32"/>
          <w:lang w:val="zh-CN" w:eastAsia="zh-CN" w:bidi="zh-CN"/>
        </w:rPr>
        <w:t>。</w:t>
      </w:r>
    </w:p>
    <w:p w14:paraId="7AC67D7D">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kern w:val="0"/>
          <w:sz w:val="32"/>
          <w:szCs w:val="32"/>
          <w:lang w:val="zh-CN" w:eastAsia="zh-CN" w:bidi="zh-CN"/>
        </w:rPr>
      </w:pPr>
      <w:r>
        <w:rPr>
          <w:rFonts w:hint="eastAsia" w:eastAsia="仿宋_GB2312" w:cs="Times New Roman"/>
          <w:kern w:val="0"/>
          <w:sz w:val="32"/>
          <w:szCs w:val="32"/>
          <w:lang w:val="en-US" w:eastAsia="zh-CN" w:bidi="zh-CN"/>
        </w:rPr>
        <w:t>3.</w:t>
      </w:r>
      <w:r>
        <w:rPr>
          <w:rFonts w:hint="eastAsia" w:ascii="Times New Roman" w:hAnsi="Times New Roman" w:eastAsia="仿宋_GB2312" w:cs="Times New Roman"/>
          <w:kern w:val="0"/>
          <w:sz w:val="32"/>
          <w:szCs w:val="32"/>
          <w:lang w:val="zh-CN" w:eastAsia="zh-CN" w:bidi="zh-CN"/>
        </w:rPr>
        <w:t>预决算信息公开性方面</w:t>
      </w:r>
      <w:r>
        <w:rPr>
          <w:rFonts w:hint="eastAsia" w:eastAsia="仿宋_GB2312" w:cs="Times New Roman"/>
          <w:kern w:val="0"/>
          <w:sz w:val="32"/>
          <w:szCs w:val="32"/>
          <w:lang w:val="zh-CN" w:eastAsia="zh-CN" w:bidi="zh-CN"/>
        </w:rPr>
        <w:t>：本单位暂未建立门户网站，</w:t>
      </w:r>
      <w:r>
        <w:rPr>
          <w:rFonts w:hint="eastAsia" w:ascii="Times New Roman" w:hAnsi="Times New Roman" w:eastAsia="仿宋_GB2312" w:cs="Times New Roman"/>
          <w:kern w:val="0"/>
          <w:sz w:val="32"/>
          <w:szCs w:val="32"/>
          <w:lang w:val="zh-CN" w:eastAsia="zh-CN" w:bidi="zh-CN"/>
        </w:rPr>
        <w:t>在衡阳市政府门户网站公开预决算信息，公开了基础信息。满分2分，得分2分</w:t>
      </w:r>
      <w:r>
        <w:rPr>
          <w:rFonts w:hint="eastAsia" w:eastAsia="仿宋_GB2312" w:cs="Times New Roman"/>
          <w:kern w:val="0"/>
          <w:sz w:val="32"/>
          <w:szCs w:val="32"/>
          <w:lang w:val="zh-CN" w:eastAsia="zh-CN" w:bidi="zh-CN"/>
        </w:rPr>
        <w:t>。</w:t>
      </w:r>
    </w:p>
    <w:p w14:paraId="2B3C97BD">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kern w:val="0"/>
          <w:sz w:val="32"/>
          <w:szCs w:val="32"/>
          <w:lang w:val="zh-CN" w:eastAsia="zh-CN" w:bidi="zh-CN"/>
        </w:rPr>
      </w:pPr>
      <w:r>
        <w:rPr>
          <w:rFonts w:hint="eastAsia" w:eastAsia="仿宋_GB2312" w:cs="Times New Roman"/>
          <w:kern w:val="0"/>
          <w:sz w:val="32"/>
          <w:szCs w:val="32"/>
          <w:lang w:val="en-US" w:eastAsia="zh-CN" w:bidi="zh-CN"/>
        </w:rPr>
        <w:t>4.</w:t>
      </w:r>
      <w:r>
        <w:rPr>
          <w:rFonts w:hint="eastAsia" w:ascii="Times New Roman" w:hAnsi="Times New Roman" w:eastAsia="仿宋_GB2312" w:cs="Times New Roman"/>
          <w:kern w:val="0"/>
          <w:sz w:val="32"/>
          <w:szCs w:val="32"/>
          <w:lang w:val="zh-CN" w:eastAsia="zh-CN" w:bidi="zh-CN"/>
        </w:rPr>
        <w:t>基础信息完善性方面</w:t>
      </w:r>
      <w:r>
        <w:rPr>
          <w:rFonts w:hint="eastAsia" w:eastAsia="仿宋_GB2312" w:cs="Times New Roman"/>
          <w:kern w:val="0"/>
          <w:sz w:val="32"/>
          <w:szCs w:val="32"/>
          <w:lang w:val="zh-CN" w:eastAsia="zh-CN" w:bidi="zh-CN"/>
        </w:rPr>
        <w:t>：本单位</w:t>
      </w:r>
      <w:r>
        <w:rPr>
          <w:rFonts w:hint="eastAsia" w:ascii="Times New Roman" w:hAnsi="Times New Roman" w:eastAsia="仿宋_GB2312" w:cs="Times New Roman"/>
          <w:kern w:val="0"/>
          <w:sz w:val="32"/>
          <w:szCs w:val="32"/>
          <w:lang w:val="zh-CN" w:eastAsia="zh-CN" w:bidi="zh-CN"/>
        </w:rPr>
        <w:t>基础数据信息和会计信息资料基本真实、准确，内容相对完整。满分2分，得分2分</w:t>
      </w:r>
      <w:r>
        <w:rPr>
          <w:rFonts w:hint="eastAsia" w:eastAsia="仿宋_GB2312" w:cs="Times New Roman"/>
          <w:kern w:val="0"/>
          <w:sz w:val="32"/>
          <w:szCs w:val="32"/>
          <w:lang w:val="zh-CN" w:eastAsia="zh-CN" w:bidi="zh-CN"/>
        </w:rPr>
        <w:t>。</w:t>
      </w:r>
    </w:p>
    <w:p w14:paraId="5BF4D93B">
      <w:pPr>
        <w:pStyle w:val="23"/>
        <w:keepNext/>
        <w:keepLines/>
        <w:pageBreakBefore w:val="0"/>
        <w:widowControl w:val="0"/>
        <w:kinsoku/>
        <w:wordWrap/>
        <w:overflowPunct/>
        <w:topLinePunct w:val="0"/>
        <w:autoSpaceDE w:val="0"/>
        <w:autoSpaceDN w:val="0"/>
        <w:bidi w:val="0"/>
        <w:adjustRightInd w:val="0"/>
        <w:snapToGrid w:val="0"/>
        <w:spacing w:before="0" w:after="0" w:line="600" w:lineRule="exact"/>
        <w:ind w:right="0"/>
        <w:textAlignment w:val="auto"/>
        <w:rPr>
          <w:rFonts w:hint="eastAsia"/>
          <w:lang w:val="en-US" w:eastAsia="zh-CN"/>
        </w:rPr>
      </w:pPr>
      <w:bookmarkStart w:id="19" w:name="_Toc7871"/>
      <w:bookmarkStart w:id="20" w:name="_Toc18286"/>
      <w:r>
        <w:rPr>
          <w:rFonts w:hint="eastAsia"/>
          <w:lang w:val="en-US" w:eastAsia="zh-CN"/>
        </w:rPr>
        <w:t>（五）资产管理</w:t>
      </w:r>
      <w:bookmarkEnd w:id="19"/>
      <w:r>
        <w:rPr>
          <w:rFonts w:hint="eastAsia"/>
          <w:lang w:val="en-US" w:eastAsia="zh-CN"/>
        </w:rPr>
        <w:t>5分</w:t>
      </w:r>
      <w:bookmarkEnd w:id="20"/>
    </w:p>
    <w:p w14:paraId="2EFA8453">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kern w:val="0"/>
          <w:sz w:val="32"/>
          <w:szCs w:val="32"/>
          <w:lang w:val="zh-CN" w:eastAsia="zh-CN" w:bidi="zh-CN"/>
        </w:rPr>
      </w:pPr>
      <w:r>
        <w:rPr>
          <w:rFonts w:hint="eastAsia" w:eastAsia="仿宋_GB2312" w:cs="Times New Roman"/>
          <w:kern w:val="0"/>
          <w:sz w:val="32"/>
          <w:szCs w:val="32"/>
          <w:lang w:val="zh-CN" w:eastAsia="zh-CN" w:bidi="zh-CN"/>
        </w:rPr>
        <w:t>本单位</w:t>
      </w:r>
      <w:r>
        <w:rPr>
          <w:rFonts w:hint="eastAsia" w:ascii="Times New Roman" w:hAnsi="Times New Roman" w:eastAsia="仿宋_GB2312" w:cs="Times New Roman"/>
          <w:kern w:val="0"/>
          <w:sz w:val="32"/>
          <w:szCs w:val="32"/>
          <w:lang w:val="zh-CN" w:eastAsia="zh-CN" w:bidi="zh-CN"/>
        </w:rPr>
        <w:t>具有资产管理制度，资产管理制度合法、合规、完整，执行有效。资产配置比较合理，符合省定标准。资产保存比较完整，资产账务管理合规</w:t>
      </w:r>
      <w:r>
        <w:rPr>
          <w:rFonts w:hint="eastAsia" w:eastAsia="仿宋_GB2312" w:cs="Times New Roman"/>
          <w:kern w:val="0"/>
          <w:sz w:val="32"/>
          <w:szCs w:val="32"/>
          <w:lang w:val="zh-CN" w:eastAsia="zh-CN" w:bidi="zh-CN"/>
        </w:rPr>
        <w:t>。</w:t>
      </w:r>
      <w:r>
        <w:rPr>
          <w:rFonts w:hint="eastAsia" w:ascii="Times New Roman" w:hAnsi="Times New Roman" w:eastAsia="仿宋_GB2312" w:cs="Times New Roman"/>
          <w:kern w:val="0"/>
          <w:sz w:val="32"/>
          <w:szCs w:val="32"/>
          <w:lang w:val="zh-CN" w:eastAsia="zh-CN" w:bidi="zh-CN"/>
        </w:rPr>
        <w:t>满分5分，得分5分。</w:t>
      </w:r>
    </w:p>
    <w:p w14:paraId="3E8CCF7F">
      <w:pPr>
        <w:pStyle w:val="23"/>
        <w:keepNext/>
        <w:keepLines/>
        <w:pageBreakBefore w:val="0"/>
        <w:widowControl w:val="0"/>
        <w:kinsoku/>
        <w:wordWrap/>
        <w:overflowPunct/>
        <w:topLinePunct w:val="0"/>
        <w:autoSpaceDE w:val="0"/>
        <w:autoSpaceDN w:val="0"/>
        <w:bidi w:val="0"/>
        <w:adjustRightInd w:val="0"/>
        <w:snapToGrid w:val="0"/>
        <w:spacing w:before="0" w:after="0" w:line="600" w:lineRule="exact"/>
        <w:ind w:right="0"/>
        <w:textAlignment w:val="auto"/>
        <w:rPr>
          <w:rFonts w:hint="eastAsia"/>
          <w:lang w:val="en-US" w:eastAsia="zh-CN"/>
        </w:rPr>
      </w:pPr>
      <w:bookmarkStart w:id="21" w:name="_Toc6598"/>
      <w:bookmarkStart w:id="22" w:name="_Toc30198"/>
      <w:r>
        <w:rPr>
          <w:rFonts w:hint="eastAsia"/>
          <w:lang w:val="en-US" w:eastAsia="zh-CN"/>
        </w:rPr>
        <w:t>（六）职责履行</w:t>
      </w:r>
      <w:bookmarkEnd w:id="21"/>
      <w:r>
        <w:rPr>
          <w:rFonts w:hint="eastAsia"/>
          <w:lang w:val="en-US" w:eastAsia="zh-CN"/>
        </w:rPr>
        <w:t>3</w:t>
      </w:r>
      <w:r>
        <w:rPr>
          <w:rFonts w:hint="default"/>
          <w:lang w:val="en-US" w:eastAsia="zh-CN"/>
        </w:rPr>
        <w:t>0</w:t>
      </w:r>
      <w:r>
        <w:rPr>
          <w:rFonts w:hint="eastAsia"/>
          <w:lang w:val="en-US" w:eastAsia="zh-CN"/>
        </w:rPr>
        <w:t>分</w:t>
      </w:r>
      <w:bookmarkEnd w:id="22"/>
    </w:p>
    <w:p w14:paraId="229C2305">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0"/>
          <w:sz w:val="32"/>
          <w:szCs w:val="32"/>
          <w:lang w:val="en-US" w:eastAsia="zh-CN" w:bidi="zh-CN"/>
        </w:rPr>
        <w:t>1.</w:t>
      </w:r>
      <w:r>
        <w:rPr>
          <w:rFonts w:hint="eastAsia" w:ascii="仿宋_GB2312" w:hAnsi="仿宋_GB2312" w:eastAsia="仿宋_GB2312" w:cs="仿宋_GB2312"/>
          <w:sz w:val="32"/>
          <w:szCs w:val="32"/>
          <w:lang w:val="en" w:eastAsia="zh-CN"/>
        </w:rPr>
        <w:t>加强政治建设。</w:t>
      </w:r>
      <w:r>
        <w:rPr>
          <w:rFonts w:hint="eastAsia" w:ascii="仿宋_GB2312" w:hAnsi="仿宋_GB2312" w:eastAsia="仿宋_GB2312" w:cs="仿宋_GB2312"/>
          <w:sz w:val="32"/>
          <w:szCs w:val="32"/>
        </w:rPr>
        <w:t>坚持“紧扣理论学习主线、坚持党建引领一线、筑牢意识形态防线、严守纪律作风底线”</w:t>
      </w:r>
      <w:r>
        <w:rPr>
          <w:rFonts w:hint="eastAsia" w:ascii="仿宋_GB2312" w:hAnsi="仿宋_GB2312" w:eastAsia="仿宋_GB2312" w:cs="仿宋_GB2312"/>
          <w:sz w:val="32"/>
          <w:szCs w:val="32"/>
          <w:lang w:eastAsia="zh-CN"/>
        </w:rPr>
        <w:t>的方向，认真学习新时代党的创新理论，</w:t>
      </w:r>
      <w:r>
        <w:rPr>
          <w:rFonts w:hint="eastAsia" w:ascii="仿宋_GB2312" w:hAnsi="仿宋_GB2312" w:eastAsia="仿宋_GB2312" w:cs="仿宋_GB2312"/>
          <w:sz w:val="32"/>
          <w:szCs w:val="32"/>
        </w:rPr>
        <w:t>常态化开展党史学习教育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大力推行党组中心组示范学、基层党支部集中学、部门科室经常学的“三学”模式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以支部“五化”建设为抓手</w:t>
      </w:r>
      <w:r>
        <w:rPr>
          <w:rFonts w:hint="eastAsia" w:ascii="仿宋_GB2312" w:hAnsi="仿宋_GB2312" w:eastAsia="仿宋_GB2312" w:cs="仿宋_GB2312"/>
          <w:sz w:val="32"/>
          <w:szCs w:val="32"/>
          <w:lang w:eastAsia="zh-CN"/>
        </w:rPr>
        <w:t>，着力建成</w:t>
      </w:r>
      <w:r>
        <w:rPr>
          <w:rFonts w:hint="eastAsia" w:ascii="仿宋_GB2312" w:hAnsi="仿宋_GB2312" w:eastAsia="仿宋_GB2312" w:cs="仿宋_GB2312"/>
          <w:sz w:val="32"/>
          <w:szCs w:val="32"/>
        </w:rPr>
        <w:t>党组书记“主抓”、党支部“实抓”的党建工作格局</w:t>
      </w:r>
      <w:r>
        <w:rPr>
          <w:rFonts w:hint="eastAsia" w:ascii="仿宋_GB2312" w:hAnsi="仿宋_GB2312" w:eastAsia="仿宋_GB2312" w:cs="仿宋_GB2312"/>
          <w:sz w:val="32"/>
          <w:szCs w:val="32"/>
          <w:lang w:eastAsia="zh-CN"/>
        </w:rPr>
        <w:t>。以党员讲党课、志愿者服务、文明创建等活动为依托，加强党的理论、方针、政策宣教，唱响主旋律，讲好衡阳故事。持续推进清廉机关建设，深入推进乡村振兴、</w:t>
      </w:r>
      <w:r>
        <w:rPr>
          <w:rFonts w:hint="eastAsia" w:ascii="仿宋_GB2312" w:hAnsi="仿宋_GB2312" w:eastAsia="仿宋_GB2312" w:cs="仿宋_GB2312"/>
          <w:sz w:val="32"/>
          <w:szCs w:val="32"/>
        </w:rPr>
        <w:t>“我为群众办实事”</w:t>
      </w:r>
      <w:r>
        <w:rPr>
          <w:rFonts w:hint="eastAsia" w:ascii="仿宋_GB2312" w:hAnsi="仿宋_GB2312" w:eastAsia="仿宋_GB2312" w:cs="仿宋_GB2312"/>
          <w:sz w:val="32"/>
          <w:szCs w:val="32"/>
          <w:lang w:eastAsia="zh-CN"/>
        </w:rPr>
        <w:t>、“双联双促”</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全局上下呈现出政治过硬、风清气正、团结干事、拼搏进取的良好氛围。</w:t>
      </w:r>
    </w:p>
    <w:p w14:paraId="66B33C14">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2.推进规范管理。</w:t>
      </w:r>
      <w:r>
        <w:rPr>
          <w:rFonts w:hint="eastAsia" w:ascii="Times New Roman" w:hAnsi="Times New Roman" w:eastAsia="仿宋_GB2312" w:cs="Times New Roman"/>
          <w:b/>
          <w:bCs/>
          <w:kern w:val="0"/>
          <w:sz w:val="32"/>
          <w:szCs w:val="32"/>
          <w:lang w:val="en-US" w:eastAsia="zh-CN" w:bidi="zh-CN"/>
        </w:rPr>
        <w:t>一是严格办公用房管理。</w:t>
      </w:r>
      <w:r>
        <w:rPr>
          <w:rFonts w:hint="eastAsia" w:ascii="Times New Roman" w:hAnsi="Times New Roman" w:eastAsia="仿宋_GB2312" w:cs="Times New Roman"/>
          <w:kern w:val="0"/>
          <w:sz w:val="32"/>
          <w:szCs w:val="32"/>
          <w:lang w:val="en-US" w:eastAsia="zh-CN" w:bidi="zh-CN"/>
        </w:rPr>
        <w:t>集中管理市直单位房产证1628个、面积80.22万平方米，开展2次办公用房巡查，共清理腾退办公用房面积1.2万平方米，优化整合16个市直单位办公场地，调配面积约3.5万平方米，严密组织市“四大家”大院办公楼集中维护修缮4次，金额738.6万元。</w:t>
      </w:r>
      <w:r>
        <w:rPr>
          <w:rFonts w:hint="eastAsia" w:ascii="Times New Roman" w:hAnsi="Times New Roman" w:eastAsia="仿宋_GB2312" w:cs="Times New Roman"/>
          <w:b/>
          <w:bCs/>
          <w:kern w:val="0"/>
          <w:sz w:val="32"/>
          <w:szCs w:val="32"/>
          <w:lang w:val="en-US" w:eastAsia="zh-CN" w:bidi="zh-CN"/>
        </w:rPr>
        <w:t>二是强化国有资产管理。</w:t>
      </w:r>
      <w:r>
        <w:rPr>
          <w:rFonts w:hint="eastAsia" w:ascii="Times New Roman" w:hAnsi="Times New Roman" w:eastAsia="仿宋_GB2312" w:cs="Times New Roman"/>
          <w:kern w:val="0"/>
          <w:sz w:val="32"/>
          <w:szCs w:val="32"/>
          <w:lang w:val="en-US" w:eastAsia="zh-CN" w:bidi="zh-CN"/>
        </w:rPr>
        <w:t>与市财政局联合出台国有资产配置处置管理办法，规范国有资产配置处置，审批处置房产土地1处、处置收入3488.89万元；通用资产7175件、资产原值2985.82万元，残值收入4.7万元；调剂捐赠可用1264件资产至乡村振兴点或学校，节约财政资金500余万。努力盘活闲置资产，统一运营管理经营性资产440余处。 划转376处资产到市属平台公司，资产面积</w:t>
      </w:r>
      <w:bookmarkStart w:id="24" w:name="_GoBack"/>
      <w:bookmarkEnd w:id="24"/>
      <w:r>
        <w:rPr>
          <w:rFonts w:hint="eastAsia" w:ascii="Times New Roman" w:hAnsi="Times New Roman" w:eastAsia="仿宋_GB2312" w:cs="Times New Roman"/>
          <w:kern w:val="0"/>
          <w:sz w:val="32"/>
          <w:szCs w:val="32"/>
          <w:lang w:val="en-US" w:eastAsia="zh-CN" w:bidi="zh-CN"/>
        </w:rPr>
        <w:t>6万余平方米，价值约4.65亿。对全市186家党政机关和参公事业单位开展国有资产清查，清查出土地面积196.48万平方米、净值5.80亿元，房屋面积121.07万平方米、净值24.08亿元，最大限度实现国有资产保值增值。</w:t>
      </w:r>
      <w:r>
        <w:rPr>
          <w:rFonts w:hint="eastAsia" w:ascii="Times New Roman" w:hAnsi="Times New Roman" w:eastAsia="仿宋_GB2312" w:cs="Times New Roman"/>
          <w:b/>
          <w:bCs/>
          <w:kern w:val="0"/>
          <w:sz w:val="32"/>
          <w:szCs w:val="32"/>
          <w:lang w:val="en-US" w:eastAsia="zh-CN" w:bidi="zh-CN"/>
        </w:rPr>
        <w:t>三是规范公务用车管理。</w:t>
      </w:r>
      <w:r>
        <w:rPr>
          <w:rFonts w:hint="eastAsia" w:ascii="Times New Roman" w:hAnsi="Times New Roman" w:eastAsia="仿宋_GB2312" w:cs="Times New Roman"/>
          <w:kern w:val="0"/>
          <w:sz w:val="32"/>
          <w:szCs w:val="32"/>
          <w:lang w:val="en-US" w:eastAsia="zh-CN" w:bidi="zh-CN"/>
        </w:rPr>
        <w:t>建立公务用车信息化管理平台，实现省市县三级信息互联互通。采取“三严”管理模式，严格“一车一编”管理，审批购置车辆104台，处置车辆72台。2022年市直机关事业单位累计线上审批公务出行50591次。</w:t>
      </w:r>
      <w:r>
        <w:rPr>
          <w:rFonts w:hint="eastAsia" w:ascii="Times New Roman" w:hAnsi="Times New Roman" w:eastAsia="仿宋_GB2312" w:cs="Times New Roman"/>
          <w:b/>
          <w:bCs/>
          <w:kern w:val="0"/>
          <w:sz w:val="32"/>
          <w:szCs w:val="32"/>
          <w:lang w:val="en-US" w:eastAsia="zh-CN" w:bidi="zh-CN"/>
        </w:rPr>
        <w:t>四是推进节能节约工作。</w:t>
      </w:r>
      <w:r>
        <w:rPr>
          <w:rFonts w:hint="eastAsia" w:ascii="Times New Roman" w:hAnsi="Times New Roman" w:eastAsia="仿宋_GB2312" w:cs="Times New Roman"/>
          <w:kern w:val="0"/>
          <w:sz w:val="32"/>
          <w:szCs w:val="32"/>
          <w:lang w:val="en-US" w:eastAsia="zh-CN" w:bidi="zh-CN"/>
        </w:rPr>
        <w:t>2022年全市共申报3个节能补助资金项目，年度公共机构能源资源节约示范案例5家，省级公共机构节约型示范单位10家，正在创建节约型机关203家。开展年度全国公共机构节水、节能宣传周活动，节能低碳知识网络挑战赛突破4万人次参与答题。督促指导全市1966家公共机构完成能耗统计信息系统数据填报，推进全市公共机构合同能源管理项目。开展市直单位机关运行成本统计，2022年“三公”经费同比减少5%。</w:t>
      </w:r>
      <w:r>
        <w:rPr>
          <w:rFonts w:hint="eastAsia" w:ascii="Times New Roman" w:hAnsi="Times New Roman" w:eastAsia="仿宋_GB2312" w:cs="Times New Roman"/>
          <w:b/>
          <w:bCs/>
          <w:kern w:val="0"/>
          <w:sz w:val="32"/>
          <w:szCs w:val="32"/>
          <w:lang w:val="en-US" w:eastAsia="zh-CN" w:bidi="zh-CN"/>
        </w:rPr>
        <w:t>五是完善公务接待制度。</w:t>
      </w:r>
      <w:r>
        <w:rPr>
          <w:rFonts w:hint="eastAsia" w:ascii="Times New Roman" w:hAnsi="Times New Roman" w:eastAsia="仿宋_GB2312" w:cs="Times New Roman"/>
          <w:kern w:val="0"/>
          <w:sz w:val="32"/>
          <w:szCs w:val="32"/>
          <w:lang w:val="en-US" w:eastAsia="zh-CN" w:bidi="zh-CN"/>
        </w:rPr>
        <w:t>坚持勤俭办一切事业，确立了全市公务接待统一管理、分级负责、对口接待的公务接待工作机制</w:t>
      </w:r>
      <w:r>
        <w:rPr>
          <w:rFonts w:hint="default" w:ascii="Times New Roman" w:hAnsi="Times New Roman" w:eastAsia="仿宋_GB2312" w:cs="Times New Roman"/>
          <w:kern w:val="0"/>
          <w:sz w:val="32"/>
          <w:szCs w:val="32"/>
          <w:lang w:val="en" w:eastAsia="zh-CN" w:bidi="zh-CN"/>
        </w:rPr>
        <w:t>,</w:t>
      </w:r>
      <w:r>
        <w:rPr>
          <w:rFonts w:hint="eastAsia" w:ascii="Times New Roman" w:hAnsi="Times New Roman" w:eastAsia="仿宋_GB2312" w:cs="Times New Roman"/>
          <w:kern w:val="0"/>
          <w:sz w:val="32"/>
          <w:szCs w:val="32"/>
          <w:lang w:val="en-US" w:eastAsia="zh-CN" w:bidi="zh-CN"/>
        </w:rPr>
        <w:t>严格落实公务接待公函制度、审批制度、清单制度和住宿餐饮等各项规定。深入各县市区、市直单位开展公务接待突出问题专项整治工作，要求全市100多家接待服务机构全面开展自查自纠，并选取其中14家存在无公函接待、超次数接待等问题的接待服务机构进行抽查督导，持续抓好公务接待突出问题整改落实。</w:t>
      </w:r>
    </w:p>
    <w:p w14:paraId="0A9286D5">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3.提升专业水平。</w:t>
      </w:r>
      <w:r>
        <w:rPr>
          <w:rFonts w:hint="eastAsia" w:ascii="Times New Roman" w:hAnsi="Times New Roman" w:eastAsia="仿宋_GB2312" w:cs="Times New Roman"/>
          <w:b/>
          <w:bCs/>
          <w:kern w:val="0"/>
          <w:sz w:val="32"/>
          <w:szCs w:val="32"/>
          <w:lang w:val="en-US" w:eastAsia="zh-CN" w:bidi="zh-CN"/>
        </w:rPr>
        <w:t>一是夯实法治化基础。</w:t>
      </w:r>
      <w:r>
        <w:rPr>
          <w:rFonts w:hint="eastAsia" w:ascii="Times New Roman" w:hAnsi="Times New Roman" w:eastAsia="仿宋_GB2312" w:cs="Times New Roman"/>
          <w:kern w:val="0"/>
          <w:sz w:val="32"/>
          <w:szCs w:val="32"/>
          <w:lang w:val="en-US" w:eastAsia="zh-CN" w:bidi="zh-CN"/>
        </w:rPr>
        <w:t>编制衡阳市机关事务“十四五”规划，认真贯彻落实党组工作规则、“三重一大”事项集体决策制度，严格执行局招投标工作统一归口管理和集体研究决策制度。落实法律顾问制度，充分发挥法律顾问在重大决策、重要制度文件和合同文本等方面法律咨询服务作用。</w:t>
      </w:r>
      <w:r>
        <w:rPr>
          <w:rFonts w:hint="eastAsia" w:ascii="Times New Roman" w:hAnsi="Times New Roman" w:eastAsia="仿宋_GB2312" w:cs="Times New Roman"/>
          <w:b/>
          <w:bCs/>
          <w:kern w:val="0"/>
          <w:sz w:val="32"/>
          <w:szCs w:val="32"/>
          <w:lang w:val="en-US" w:eastAsia="zh-CN" w:bidi="zh-CN"/>
        </w:rPr>
        <w:t>二是完善标准化体系。</w:t>
      </w:r>
      <w:r>
        <w:rPr>
          <w:rFonts w:hint="eastAsia" w:ascii="Times New Roman" w:hAnsi="Times New Roman" w:eastAsia="仿宋_GB2312" w:cs="Times New Roman"/>
          <w:kern w:val="0"/>
          <w:sz w:val="32"/>
          <w:szCs w:val="32"/>
          <w:lang w:val="en-US" w:eastAsia="zh-CN" w:bidi="zh-CN"/>
        </w:rPr>
        <w:t>成立机关事务标准化建设领导小组，编制机关事务标准化工作“十四五”规划，出台了《市直党政机关和参公事业单位国有资产管理体制改革联席会议制度》等20多项国有资产、公务用车、公共机构节能、公务接待方面的制度标准。</w:t>
      </w:r>
      <w:r>
        <w:rPr>
          <w:rFonts w:hint="eastAsia" w:ascii="Times New Roman" w:hAnsi="Times New Roman" w:eastAsia="仿宋_GB2312" w:cs="Times New Roman"/>
          <w:b/>
          <w:bCs/>
          <w:kern w:val="0"/>
          <w:sz w:val="32"/>
          <w:szCs w:val="32"/>
          <w:lang w:val="en-US" w:eastAsia="zh-CN" w:bidi="zh-CN"/>
        </w:rPr>
        <w:t>三是提升信息化效能。</w:t>
      </w:r>
      <w:r>
        <w:rPr>
          <w:rFonts w:hint="eastAsia" w:ascii="Times New Roman" w:hAnsi="Times New Roman" w:eastAsia="仿宋_GB2312" w:cs="Times New Roman"/>
          <w:kern w:val="0"/>
          <w:sz w:val="32"/>
          <w:szCs w:val="32"/>
          <w:lang w:val="en-US" w:eastAsia="zh-CN" w:bidi="zh-CN"/>
        </w:rPr>
        <w:t>系统谋划全市机关事务管理数字化综合平台建设，持续推进无纸化办公、智能化会议建设，强化国有资产信息化管理，全面实施公务用车信息化管理。采取“实体与虚拟、集中与分散”相结合的模式，加快建设市直国有资产公物仓，不断提高机关事务治理能力现代化水平。</w:t>
      </w:r>
    </w:p>
    <w:p w14:paraId="1812C875">
      <w:pPr>
        <w:pStyle w:val="23"/>
        <w:keepNext/>
        <w:keepLines/>
        <w:pageBreakBefore w:val="0"/>
        <w:widowControl w:val="0"/>
        <w:kinsoku/>
        <w:wordWrap/>
        <w:overflowPunct/>
        <w:topLinePunct w:val="0"/>
        <w:autoSpaceDE w:val="0"/>
        <w:autoSpaceDN w:val="0"/>
        <w:bidi w:val="0"/>
        <w:adjustRightInd w:val="0"/>
        <w:snapToGrid w:val="0"/>
        <w:spacing w:before="0" w:after="0" w:line="600" w:lineRule="exact"/>
        <w:ind w:right="0"/>
        <w:textAlignment w:val="auto"/>
        <w:rPr>
          <w:rFonts w:hint="eastAsia"/>
          <w:lang w:val="en-US" w:eastAsia="zh-CN"/>
        </w:rPr>
      </w:pPr>
      <w:bookmarkStart w:id="23" w:name="_Toc27219"/>
      <w:r>
        <w:rPr>
          <w:rFonts w:hint="eastAsia"/>
          <w:lang w:val="en-US" w:eastAsia="zh-CN"/>
        </w:rPr>
        <w:t>（七）履职效益3</w:t>
      </w:r>
      <w:r>
        <w:rPr>
          <w:rFonts w:hint="default"/>
          <w:lang w:val="en-US" w:eastAsia="zh-CN"/>
        </w:rPr>
        <w:t>0</w:t>
      </w:r>
      <w:r>
        <w:rPr>
          <w:rFonts w:hint="eastAsia"/>
          <w:lang w:val="en-US" w:eastAsia="zh-CN"/>
        </w:rPr>
        <w:t>分</w:t>
      </w:r>
      <w:bookmarkEnd w:id="23"/>
    </w:p>
    <w:p w14:paraId="31D25C28">
      <w:pPr>
        <w:pStyle w:val="21"/>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kern w:val="0"/>
          <w:sz w:val="32"/>
          <w:szCs w:val="32"/>
          <w:lang w:val="zh-CN" w:eastAsia="zh-CN" w:bidi="zh-CN"/>
        </w:rPr>
      </w:pPr>
      <w:r>
        <w:rPr>
          <w:rFonts w:hint="eastAsia" w:ascii="Times New Roman" w:hAnsi="Times New Roman" w:eastAsia="仿宋_GB2312" w:cs="Times New Roman"/>
          <w:kern w:val="0"/>
          <w:sz w:val="32"/>
          <w:szCs w:val="32"/>
          <w:lang w:val="zh-CN" w:eastAsia="zh-CN" w:bidi="zh-CN"/>
        </w:rPr>
        <w:t>本单位按时完成机构“三定方案”规定的各项职能工作和市委、市政府交办的其他工作。围绕部门职责、行业发展规划，以预算资金管理为主线，总结部门资产管理和开展业务情况，从运行成本、管理效率、履职效能、社会效应、可持续发展能力和服务对象满意度等方面，202</w:t>
      </w:r>
      <w:r>
        <w:rPr>
          <w:rFonts w:hint="eastAsia" w:ascii="Times New Roman" w:hAnsi="Times New Roman" w:eastAsia="仿宋_GB2312" w:cs="Times New Roman"/>
          <w:kern w:val="0"/>
          <w:sz w:val="32"/>
          <w:szCs w:val="32"/>
          <w:lang w:val="en-US" w:eastAsia="zh-CN" w:bidi="zh-CN"/>
        </w:rPr>
        <w:t>2</w:t>
      </w:r>
      <w:r>
        <w:rPr>
          <w:rFonts w:hint="eastAsia" w:ascii="Times New Roman" w:hAnsi="Times New Roman" w:eastAsia="仿宋_GB2312" w:cs="Times New Roman"/>
          <w:kern w:val="0"/>
          <w:sz w:val="32"/>
          <w:szCs w:val="32"/>
          <w:lang w:val="zh-CN" w:eastAsia="zh-CN" w:bidi="zh-CN"/>
        </w:rPr>
        <w:t>年部门整体及核心业务均取得了良好发展。</w:t>
      </w:r>
    </w:p>
    <w:p w14:paraId="18BC688B">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kern w:val="0"/>
          <w:sz w:val="32"/>
          <w:szCs w:val="32"/>
          <w:lang w:val="en" w:eastAsia="zh-CN" w:bidi="zh-CN"/>
        </w:rPr>
      </w:pPr>
      <w:r>
        <w:rPr>
          <w:rFonts w:hint="eastAsia" w:ascii="Times New Roman" w:hAnsi="Times New Roman" w:eastAsia="仿宋_GB2312" w:cs="Times New Roman"/>
          <w:kern w:val="0"/>
          <w:sz w:val="32"/>
          <w:szCs w:val="32"/>
          <w:lang w:val="en-US" w:eastAsia="zh-CN" w:bidi="zh-CN"/>
        </w:rPr>
        <w:t>2022年本单位整体支出绩效综合自评99分。</w:t>
      </w:r>
    </w:p>
    <w:p w14:paraId="234411FF">
      <w:pPr>
        <w:pStyle w:val="21"/>
        <w:pageBreakBefore w:val="0"/>
        <w:widowControl/>
        <w:kinsoku/>
        <w:wordWrap/>
        <w:overflowPunct/>
        <w:topLinePunct w:val="0"/>
        <w:bidi w:val="0"/>
        <w:spacing w:line="600" w:lineRule="exact"/>
        <w:textAlignment w:val="auto"/>
        <w:rPr>
          <w:rFonts w:eastAsia="黑体"/>
          <w:sz w:val="32"/>
          <w:szCs w:val="32"/>
        </w:rPr>
      </w:pPr>
      <w:r>
        <w:rPr>
          <w:rFonts w:eastAsia="黑体"/>
          <w:sz w:val="32"/>
          <w:szCs w:val="32"/>
        </w:rPr>
        <w:t>七、存在的问题及原因分析</w:t>
      </w:r>
    </w:p>
    <w:p w14:paraId="6F400002">
      <w:pPr>
        <w:keepNext w:val="0"/>
        <w:keepLines w:val="0"/>
        <w:pageBreakBefore w:val="0"/>
        <w:widowControl/>
        <w:shd w:val="clear" w:color="auto" w:fill="auto"/>
        <w:kinsoku/>
        <w:wordWrap/>
        <w:overflowPunct/>
        <w:topLinePunct w:val="0"/>
        <w:autoSpaceDE/>
        <w:autoSpaceDN/>
        <w:bidi w:val="0"/>
        <w:adjustRightInd/>
        <w:spacing w:line="600" w:lineRule="exact"/>
        <w:ind w:firstLine="640"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（一）年初预算安排不够充足</w:t>
      </w:r>
    </w:p>
    <w:p w14:paraId="68ED44D6">
      <w:pPr>
        <w:pStyle w:val="7"/>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eastAsia="仿宋"/>
          <w:b/>
          <w:bCs/>
          <w:sz w:val="32"/>
          <w:szCs w:val="32"/>
          <w:lang w:val="en-US" w:eastAsia="zh-CN"/>
        </w:rPr>
        <w:t>一是</w:t>
      </w:r>
      <w:r>
        <w:rPr>
          <w:rFonts w:hint="eastAsia" w:eastAsia="仿宋"/>
          <w:sz w:val="32"/>
          <w:szCs w:val="32"/>
          <w:lang w:val="en-US" w:eastAsia="zh-CN"/>
        </w:rPr>
        <w:t>办公用房维修项目支出未纳入年初预算。</w:t>
      </w:r>
      <w:r>
        <w:rPr>
          <w:rFonts w:hint="eastAsia" w:ascii="仿宋_GB2312" w:hAnsi="仿宋_GB2312" w:eastAsia="仿宋_GB2312" w:cs="仿宋_GB2312"/>
          <w:bCs/>
          <w:sz w:val="32"/>
          <w:szCs w:val="32"/>
        </w:rPr>
        <w:t>办公用房大中型维修资金需求量较大，目前</w:t>
      </w:r>
      <w:r>
        <w:rPr>
          <w:rFonts w:hint="eastAsia" w:ascii="仿宋_GB2312" w:hAnsi="仿宋_GB2312" w:eastAsia="仿宋_GB2312" w:cs="仿宋_GB2312"/>
          <w:bCs/>
          <w:sz w:val="32"/>
          <w:szCs w:val="32"/>
          <w:lang w:eastAsia="zh-CN"/>
        </w:rPr>
        <w:t>实行“一事一议”</w:t>
      </w:r>
      <w:r>
        <w:rPr>
          <w:rFonts w:hint="eastAsia" w:ascii="仿宋_GB2312" w:hAnsi="仿宋_GB2312" w:eastAsia="仿宋_GB2312" w:cs="仿宋_GB2312"/>
          <w:bCs/>
          <w:sz w:val="32"/>
          <w:szCs w:val="32"/>
        </w:rPr>
        <w:t>，</w:t>
      </w:r>
      <w:r>
        <w:rPr>
          <w:rFonts w:hint="eastAsia" w:ascii="Times New Roman" w:hAnsi="Times New Roman" w:eastAsia="仿宋_GB2312" w:cs="Times New Roman"/>
          <w:sz w:val="32"/>
          <w:szCs w:val="32"/>
          <w:lang w:eastAsia="zh-CN"/>
        </w:rPr>
        <w:t>无法提前主动开展工作，且预算指标下达与政府采购申报、财政投资评审在程序互为条件，无法做好绩效评价等工作。</w:t>
      </w:r>
      <w:r>
        <w:rPr>
          <w:rFonts w:hint="eastAsia" w:ascii="Times New Roman" w:hAnsi="Times New Roman" w:eastAsia="仿宋_GB2312" w:cs="Times New Roman"/>
          <w:b/>
          <w:bCs/>
          <w:sz w:val="32"/>
          <w:szCs w:val="32"/>
          <w:lang w:eastAsia="zh-CN"/>
        </w:rPr>
        <w:t>二是</w:t>
      </w:r>
      <w:r>
        <w:rPr>
          <w:rFonts w:hint="eastAsia" w:ascii="Times New Roman" w:hAnsi="Times New Roman" w:eastAsia="仿宋_GB2312" w:cs="Times New Roman"/>
          <w:kern w:val="2"/>
          <w:sz w:val="32"/>
          <w:szCs w:val="32"/>
          <w:lang w:val="en-US" w:eastAsia="zh-CN" w:bidi="ar-SA"/>
        </w:rPr>
        <w:t>公务用车未安排配备更新预算。根据《湖南省党政机关公务用车管理实施办法》（湘办发〔2019〕13号）第十条“财政部门根据年度公务用车配备更新计划，按照预算管理有关规定统筹安排购置经费，列入公务用车主管部门预算”的要求，财政应每年根据公务用车配备更新计划统筹安排公车购置预算，专门用于编制内符合条件的车辆配备更新。现市直各单位更新车辆，大部分都无年初预算，资金来源均为自筹或追加，不符合财政预算和公务用车管理的要求。</w:t>
      </w:r>
      <w:r>
        <w:rPr>
          <w:rFonts w:hint="eastAsia"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kern w:val="2"/>
          <w:sz w:val="32"/>
          <w:szCs w:val="32"/>
          <w:lang w:val="en-US" w:eastAsia="zh-CN" w:bidi="ar-SA"/>
        </w:rPr>
        <w:t>部分不可预计支出未纳入年初预算。由于部分工作任务和情况突发性，部分支出无法预计并精准纳入年初预算。比如2022年开展全市国有资产清查专项经费等，需要年中追加调整预算。</w:t>
      </w:r>
    </w:p>
    <w:p w14:paraId="68732D88">
      <w:pPr>
        <w:keepNext w:val="0"/>
        <w:keepLines w:val="0"/>
        <w:pageBreakBefore w:val="0"/>
        <w:widowControl/>
        <w:shd w:val="clear" w:color="auto" w:fill="auto"/>
        <w:kinsoku/>
        <w:wordWrap/>
        <w:overflowPunct/>
        <w:topLinePunct w:val="0"/>
        <w:autoSpaceDE/>
        <w:autoSpaceDN/>
        <w:bidi w:val="0"/>
        <w:adjustRightInd/>
        <w:spacing w:line="600" w:lineRule="exact"/>
        <w:ind w:firstLine="640"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（二）预算绩效指标不够精细</w:t>
      </w:r>
    </w:p>
    <w:p w14:paraId="682A767F">
      <w:pPr>
        <w:pStyle w:val="21"/>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w:t>
      </w:r>
      <w:r>
        <w:rPr>
          <w:rFonts w:hint="eastAsia" w:eastAsia="仿宋_GB2312" w:cs="Times New Roman"/>
          <w:kern w:val="2"/>
          <w:sz w:val="32"/>
          <w:szCs w:val="32"/>
          <w:lang w:val="en-US" w:eastAsia="zh-CN" w:bidi="ar-SA"/>
        </w:rPr>
        <w:t>指</w:t>
      </w:r>
      <w:r>
        <w:rPr>
          <w:rFonts w:hint="eastAsia" w:ascii="Times New Roman" w:hAnsi="Times New Roman" w:eastAsia="仿宋_GB2312" w:cs="Times New Roman"/>
          <w:kern w:val="2"/>
          <w:sz w:val="32"/>
          <w:szCs w:val="32"/>
          <w:lang w:val="en-US" w:eastAsia="zh-CN" w:bidi="ar-SA"/>
        </w:rPr>
        <w:t>标应当从数量、质量、成本和时效等方面进行细化和量化，尽量进行定量描述，不能以量化形势表述的，采用定性的分级分档表述。在编制申报年度预算绩效目标时，部分绩效指标设定的较为笼统，不够精细。比如质量指标的定性表述不够具体详细，缺乏具体细化的定量表述。</w:t>
      </w:r>
    </w:p>
    <w:p w14:paraId="5E408D84">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（三）预算绩效管理不够专业</w:t>
      </w:r>
    </w:p>
    <w:p w14:paraId="6590365B">
      <w:pPr>
        <w:pStyle w:val="21"/>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市财政逐步加强绩效管理的情况下，本单位财务人员面对当前绩效管理工作既没有现成的经验可借鉴，又缺乏专业性很强的技能储备，只能边工作、边学习、边积累，短期内部分工作只能停留在表面，难以做到程序规范、管理科学，难以满足当前绩效管理要求。</w:t>
      </w:r>
    </w:p>
    <w:p w14:paraId="47A56EB6">
      <w:pPr>
        <w:keepNext w:val="0"/>
        <w:keepLines w:val="0"/>
        <w:pageBreakBefore w:val="0"/>
        <w:widowControl/>
        <w:numPr>
          <w:ilvl w:val="0"/>
          <w:numId w:val="4"/>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下一步改进措施</w:t>
      </w:r>
    </w:p>
    <w:p w14:paraId="015EE3A1">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（一）加强沟通，夯实预算编制基础</w:t>
      </w:r>
    </w:p>
    <w:p w14:paraId="55381055">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eastAsia="仿宋"/>
          <w:sz w:val="32"/>
          <w:szCs w:val="32"/>
          <w:lang w:val="en-US" w:eastAsia="zh-CN"/>
        </w:rPr>
      </w:pPr>
      <w:r>
        <w:rPr>
          <w:rFonts w:hint="eastAsia" w:eastAsia="仿宋"/>
          <w:sz w:val="32"/>
          <w:szCs w:val="32"/>
          <w:lang w:val="en-US" w:eastAsia="zh-CN"/>
        </w:rPr>
        <w:t>一方面加强与市财政局相关业务科室的沟通，争取安排未纳入年初预算的项目支出，加大财政预算经费保障。另一方面加强与业务科室的沟通和联系，取得更加精细化科学化的绩效目标，预编一部分不可预计费用，提高预算编制的科学性和前瞻性，助力预算编细编实。</w:t>
      </w:r>
    </w:p>
    <w:p w14:paraId="2E93B8CD">
      <w:pPr>
        <w:pStyle w:val="2"/>
        <w:keepNext/>
        <w:keepLines/>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jc w:val="both"/>
        <w:textAlignment w:val="auto"/>
        <w:outlineLvl w:val="3"/>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加强管理，健全绩效指标体系</w:t>
      </w:r>
    </w:p>
    <w:p w14:paraId="25EDDEC3">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严格绩效管理，健全绩效指标体系，促进绩效指标更加精细化、科学化。在管理和使用预算资金的过程中，将更加突出资金使用绩效，按照绩效评价原则，开展资金安全性、规范性的监督，确保资金的使用符合绩效管理要求。</w:t>
      </w:r>
    </w:p>
    <w:p w14:paraId="43759378">
      <w:pPr>
        <w:pStyle w:val="2"/>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Chars="0" w:firstLine="640" w:firstLineChars="200"/>
        <w:jc w:val="both"/>
        <w:textAlignment w:val="auto"/>
        <w:outlineLvl w:val="3"/>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（三）加强培训，提升绩效管理水平</w:t>
      </w:r>
    </w:p>
    <w:p w14:paraId="6745FE7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一步加强财务素养和专业技能培训，提升绩效管理水平。通过邀请财政局相关科室对我局开展培训的方式，或者组织财务人员外出参与国家会计学院的相关培训，学习预算绩效管理的法律法规和政策依据，了解预算绩效管理全过程中的绩效目标管理、绩效执行监控、绩效评价、评价结果应用各阶段的工作流程、要点和内容，吸收借鉴其他单位预算管理经验。</w:t>
      </w:r>
    </w:p>
    <w:p w14:paraId="1CB1B774">
      <w:pPr>
        <w:pageBreakBefore w:val="0"/>
        <w:widowControl/>
        <w:kinsoku/>
        <w:wordWrap/>
        <w:overflowPunct/>
        <w:topLinePunct w:val="0"/>
        <w:bidi w:val="0"/>
        <w:spacing w:line="6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九、其他需要说明的情况</w:t>
      </w:r>
    </w:p>
    <w:p w14:paraId="63AA6F4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77A0630F">
      <w:pPr>
        <w:widowControl/>
        <w:ind w:firstLine="640" w:firstLineChars="200"/>
        <w:rPr>
          <w:rFonts w:ascii="Times New Roman" w:hAnsi="Times New Roman" w:eastAsia="仿宋"/>
          <w:sz w:val="32"/>
          <w:szCs w:val="32"/>
        </w:rPr>
      </w:pPr>
    </w:p>
    <w:p w14:paraId="6027F2CF">
      <w:pPr>
        <w:widowControl/>
        <w:ind w:firstLine="640" w:firstLineChars="200"/>
        <w:rPr>
          <w:rFonts w:ascii="Times New Roman" w:hAnsi="Times New Roman" w:eastAsia="仿宋"/>
          <w:sz w:val="32"/>
          <w:szCs w:val="32"/>
        </w:rPr>
      </w:pPr>
      <w:r>
        <w:rPr>
          <w:rFonts w:ascii="Times New Roman" w:hAnsi="Times New Roman" w:eastAsia="仿宋"/>
          <w:sz w:val="32"/>
          <w:szCs w:val="32"/>
        </w:rPr>
        <w:t>附件：</w:t>
      </w:r>
    </w:p>
    <w:p w14:paraId="41E8C051">
      <w:pPr>
        <w:ind w:firstLine="640" w:firstLineChars="200"/>
        <w:rPr>
          <w:rFonts w:ascii="Times New Roman" w:hAnsi="Times New Roman" w:eastAsia="仿宋_GB2312"/>
          <w:sz w:val="32"/>
          <w:szCs w:val="32"/>
        </w:rPr>
      </w:pPr>
      <w:r>
        <w:rPr>
          <w:rFonts w:ascii="Times New Roman" w:hAnsi="Times New Roman" w:eastAsia="仿宋_GB2312"/>
          <w:sz w:val="32"/>
          <w:szCs w:val="32"/>
        </w:rPr>
        <w:t>1.部门整体支出绩效评价基础数据表</w:t>
      </w:r>
    </w:p>
    <w:p w14:paraId="2AA3121E">
      <w:pPr>
        <w:ind w:firstLine="640" w:firstLineChars="200"/>
        <w:rPr>
          <w:rFonts w:ascii="Times New Roman" w:hAnsi="Times New Roman" w:eastAsia="仿宋_GB2312"/>
          <w:sz w:val="32"/>
          <w:szCs w:val="32"/>
        </w:rPr>
      </w:pPr>
      <w:r>
        <w:rPr>
          <w:rFonts w:ascii="Times New Roman" w:hAnsi="Times New Roman" w:eastAsia="仿宋_GB2312"/>
          <w:sz w:val="32"/>
          <w:szCs w:val="32"/>
        </w:rPr>
        <w:t>2.部门整体支出绩效自评表</w:t>
      </w:r>
    </w:p>
    <w:p w14:paraId="701F56B2">
      <w:pPr>
        <w:pStyle w:val="15"/>
        <w:ind w:firstLine="640" w:firstLineChars="200"/>
        <w:rPr>
          <w:rFonts w:ascii="Times New Roman" w:hAnsi="Times New Roman" w:eastAsia="仿宋"/>
          <w:sz w:val="32"/>
          <w:szCs w:val="32"/>
        </w:rPr>
      </w:pPr>
      <w:r>
        <w:rPr>
          <w:rFonts w:ascii="Times New Roman" w:hAnsi="Times New Roman" w:eastAsia="仿宋_GB2312"/>
          <w:sz w:val="32"/>
          <w:szCs w:val="32"/>
        </w:rPr>
        <w:t>3.项目支出绩效自评表</w:t>
      </w:r>
    </w:p>
    <w:p w14:paraId="0863EBAF">
      <w:pPr>
        <w:pStyle w:val="15"/>
        <w:rPr>
          <w:rFonts w:ascii="Times New Roman" w:hAnsi="Times New Roman" w:eastAsia="仿宋"/>
          <w:sz w:val="32"/>
          <w:szCs w:val="32"/>
        </w:rPr>
      </w:pPr>
    </w:p>
    <w:p w14:paraId="230C7F4E">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附件1：</w:t>
      </w:r>
    </w:p>
    <w:p w14:paraId="0912833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720" w:firstLineChars="20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部门整体支出绩效评价基础数据表</w:t>
      </w:r>
    </w:p>
    <w:p w14:paraId="5677AE1E">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hint="default" w:ascii="Times New Roman" w:hAnsi="Times New Roman" w:eastAsia="宋体"/>
          <w:kern w:val="0"/>
          <w:sz w:val="24"/>
          <w:lang w:val="en-US" w:eastAsia="zh-CN"/>
        </w:rPr>
      </w:pPr>
      <w:r>
        <w:rPr>
          <w:rFonts w:ascii="Times New Roman" w:hAnsi="Times New Roman"/>
          <w:kern w:val="0"/>
          <w:sz w:val="24"/>
        </w:rPr>
        <w:t>填报单位：</w:t>
      </w:r>
      <w:r>
        <w:rPr>
          <w:rFonts w:hint="eastAsia" w:ascii="Times New Roman" w:hAnsi="Times New Roman"/>
          <w:kern w:val="0"/>
          <w:sz w:val="24"/>
          <w:lang w:val="en-US" w:eastAsia="zh-CN"/>
        </w:rPr>
        <w:t>衡阳市机关事务管理局</w:t>
      </w:r>
      <w:r>
        <w:rPr>
          <w:rFonts w:hint="eastAsia" w:ascii="Times New Roman" w:hAnsi="Times New Roman"/>
          <w:kern w:val="0"/>
          <w:sz w:val="24"/>
          <w:lang w:eastAsia="zh-CN"/>
        </w:rPr>
        <w:t>（</w:t>
      </w:r>
      <w:r>
        <w:rPr>
          <w:rFonts w:hint="eastAsia" w:ascii="Times New Roman" w:hAnsi="Times New Roman"/>
          <w:kern w:val="0"/>
          <w:sz w:val="24"/>
          <w:lang w:val="en-US" w:eastAsia="zh-CN"/>
        </w:rPr>
        <w:t>盖章</w:t>
      </w:r>
      <w:r>
        <w:rPr>
          <w:rFonts w:hint="eastAsia" w:ascii="Times New Roman" w:hAnsi="Times New Roman"/>
          <w:kern w:val="0"/>
          <w:sz w:val="24"/>
          <w:lang w:eastAsia="zh-CN"/>
        </w:rPr>
        <w:t>）</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hint="eastAsia" w:ascii="Times New Roman" w:hAnsi="Times New Roman"/>
          <w:kern w:val="0"/>
          <w:sz w:val="24"/>
          <w:lang w:val="en-US" w:eastAsia="zh-CN"/>
        </w:rPr>
        <w:t xml:space="preserve"> 单位：万元</w:t>
      </w:r>
    </w:p>
    <w:tbl>
      <w:tblPr>
        <w:tblStyle w:val="11"/>
        <w:tblW w:w="9097" w:type="dxa"/>
        <w:jc w:val="center"/>
        <w:tblLayout w:type="fixed"/>
        <w:tblCellMar>
          <w:top w:w="0" w:type="dxa"/>
          <w:left w:w="108" w:type="dxa"/>
          <w:bottom w:w="0" w:type="dxa"/>
          <w:right w:w="108" w:type="dxa"/>
        </w:tblCellMar>
      </w:tblPr>
      <w:tblGrid>
        <w:gridCol w:w="3245"/>
        <w:gridCol w:w="1938"/>
        <w:gridCol w:w="2153"/>
        <w:gridCol w:w="1761"/>
      </w:tblGrid>
      <w:tr w14:paraId="7D45FF03">
        <w:tblPrEx>
          <w:tblCellMar>
            <w:top w:w="0" w:type="dxa"/>
            <w:left w:w="108" w:type="dxa"/>
            <w:bottom w:w="0" w:type="dxa"/>
            <w:right w:w="108" w:type="dxa"/>
          </w:tblCellMar>
        </w:tblPrEx>
        <w:trPr>
          <w:trHeight w:val="340" w:hRule="atLeast"/>
          <w:jc w:val="center"/>
        </w:trPr>
        <w:tc>
          <w:tcPr>
            <w:tcW w:w="3245" w:type="dxa"/>
            <w:vMerge w:val="restart"/>
            <w:tcBorders>
              <w:top w:val="single" w:color="auto" w:sz="4" w:space="0"/>
              <w:left w:val="single" w:color="auto" w:sz="4" w:space="0"/>
              <w:bottom w:val="single" w:color="auto" w:sz="4" w:space="0"/>
              <w:right w:val="single" w:color="auto" w:sz="4" w:space="0"/>
            </w:tcBorders>
            <w:vAlign w:val="center"/>
          </w:tcPr>
          <w:p w14:paraId="003B5805">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1938" w:type="dxa"/>
            <w:tcBorders>
              <w:top w:val="single" w:color="auto" w:sz="4" w:space="0"/>
              <w:left w:val="nil"/>
              <w:bottom w:val="single" w:color="auto" w:sz="4" w:space="0"/>
              <w:right w:val="single" w:color="auto" w:sz="4" w:space="0"/>
            </w:tcBorders>
            <w:vAlign w:val="center"/>
          </w:tcPr>
          <w:p w14:paraId="6C882753">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153" w:type="dxa"/>
            <w:tcBorders>
              <w:top w:val="single" w:color="auto" w:sz="4" w:space="0"/>
              <w:left w:val="nil"/>
              <w:bottom w:val="single" w:color="auto" w:sz="4" w:space="0"/>
              <w:right w:val="single" w:color="auto" w:sz="4" w:space="0"/>
            </w:tcBorders>
            <w:vAlign w:val="center"/>
          </w:tcPr>
          <w:p w14:paraId="1F738CF6">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lang w:val="en-US" w:eastAsia="zh-CN"/>
              </w:rPr>
              <w:t>2</w:t>
            </w:r>
            <w:r>
              <w:rPr>
                <w:rFonts w:ascii="Times New Roman" w:hAnsi="Times New Roman"/>
                <w:b/>
                <w:bCs/>
                <w:kern w:val="0"/>
                <w:szCs w:val="21"/>
              </w:rPr>
              <w:t>年实际在职人数</w:t>
            </w:r>
          </w:p>
        </w:tc>
        <w:tc>
          <w:tcPr>
            <w:tcW w:w="1761" w:type="dxa"/>
            <w:tcBorders>
              <w:top w:val="single" w:color="auto" w:sz="4" w:space="0"/>
              <w:left w:val="nil"/>
              <w:bottom w:val="single" w:color="auto" w:sz="4" w:space="0"/>
              <w:right w:val="single" w:color="auto" w:sz="4" w:space="0"/>
            </w:tcBorders>
            <w:vAlign w:val="center"/>
          </w:tcPr>
          <w:p w14:paraId="451DF620">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6DCCB225">
        <w:tblPrEx>
          <w:tblCellMar>
            <w:top w:w="0" w:type="dxa"/>
            <w:left w:w="108" w:type="dxa"/>
            <w:bottom w:w="0" w:type="dxa"/>
            <w:right w:w="108" w:type="dxa"/>
          </w:tblCellMar>
        </w:tblPrEx>
        <w:trPr>
          <w:trHeight w:val="340" w:hRule="atLeast"/>
          <w:jc w:val="center"/>
        </w:trPr>
        <w:tc>
          <w:tcPr>
            <w:tcW w:w="3245" w:type="dxa"/>
            <w:vMerge w:val="continue"/>
            <w:tcBorders>
              <w:top w:val="single" w:color="auto" w:sz="4" w:space="0"/>
              <w:left w:val="single" w:color="auto" w:sz="4" w:space="0"/>
              <w:bottom w:val="single" w:color="auto" w:sz="4" w:space="0"/>
              <w:right w:val="single" w:color="auto" w:sz="4" w:space="0"/>
            </w:tcBorders>
            <w:vAlign w:val="center"/>
          </w:tcPr>
          <w:p w14:paraId="39B9C699">
            <w:pPr>
              <w:widowControl/>
              <w:jc w:val="left"/>
              <w:rPr>
                <w:rFonts w:ascii="Times New Roman" w:hAnsi="Times New Roman" w:eastAsia="Times New Roman"/>
                <w:kern w:val="0"/>
                <w:szCs w:val="21"/>
              </w:rPr>
            </w:pPr>
          </w:p>
        </w:tc>
        <w:tc>
          <w:tcPr>
            <w:tcW w:w="1938" w:type="dxa"/>
            <w:tcBorders>
              <w:top w:val="single" w:color="auto" w:sz="4" w:space="0"/>
              <w:left w:val="nil"/>
              <w:bottom w:val="single" w:color="auto" w:sz="4" w:space="0"/>
              <w:right w:val="single" w:color="auto" w:sz="4" w:space="0"/>
            </w:tcBorders>
            <w:vAlign w:val="center"/>
          </w:tcPr>
          <w:p w14:paraId="32056983">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29</w:t>
            </w:r>
            <w:r>
              <w:rPr>
                <w:rFonts w:ascii="Times New Roman" w:hAnsi="Times New Roman"/>
                <w:kern w:val="0"/>
                <w:szCs w:val="21"/>
              </w:rPr>
              <w:t>　</w:t>
            </w:r>
          </w:p>
        </w:tc>
        <w:tc>
          <w:tcPr>
            <w:tcW w:w="2153" w:type="dxa"/>
            <w:tcBorders>
              <w:top w:val="single" w:color="auto" w:sz="4" w:space="0"/>
              <w:left w:val="nil"/>
              <w:bottom w:val="single" w:color="auto" w:sz="4" w:space="0"/>
              <w:right w:val="single" w:color="auto" w:sz="4" w:space="0"/>
            </w:tcBorders>
            <w:vAlign w:val="center"/>
          </w:tcPr>
          <w:p w14:paraId="6A66273D">
            <w:pPr>
              <w:widowControl/>
              <w:jc w:val="center"/>
              <w:rPr>
                <w:rFonts w:hint="default" w:ascii="Times New Roman" w:hAnsi="Times New Roman" w:eastAsia="Times New Roman"/>
                <w:kern w:val="0"/>
                <w:szCs w:val="21"/>
                <w:lang w:val="en-US"/>
              </w:rPr>
            </w:pPr>
            <w:r>
              <w:rPr>
                <w:rFonts w:hint="eastAsia" w:ascii="Times New Roman" w:hAnsi="Times New Roman"/>
                <w:kern w:val="0"/>
                <w:szCs w:val="21"/>
                <w:lang w:val="en-US" w:eastAsia="zh-CN"/>
              </w:rPr>
              <w:t>25</w:t>
            </w:r>
          </w:p>
        </w:tc>
        <w:tc>
          <w:tcPr>
            <w:tcW w:w="1761" w:type="dxa"/>
            <w:tcBorders>
              <w:top w:val="single" w:color="auto" w:sz="4" w:space="0"/>
              <w:left w:val="nil"/>
              <w:bottom w:val="single" w:color="auto" w:sz="4" w:space="0"/>
              <w:right w:val="single" w:color="auto" w:sz="4" w:space="0"/>
            </w:tcBorders>
            <w:vAlign w:val="center"/>
          </w:tcPr>
          <w:p w14:paraId="7AA7EF23">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86.2%</w:t>
            </w:r>
            <w:r>
              <w:rPr>
                <w:rFonts w:ascii="Times New Roman" w:hAnsi="Times New Roman"/>
                <w:kern w:val="0"/>
                <w:szCs w:val="21"/>
              </w:rPr>
              <w:t>　</w:t>
            </w:r>
          </w:p>
        </w:tc>
      </w:tr>
      <w:tr w14:paraId="0FDD7D1A">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614A3582">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1938" w:type="dxa"/>
            <w:tcBorders>
              <w:top w:val="single" w:color="auto" w:sz="4" w:space="0"/>
              <w:left w:val="nil"/>
              <w:bottom w:val="single" w:color="auto" w:sz="4" w:space="0"/>
              <w:right w:val="single" w:color="000000" w:sz="4" w:space="0"/>
            </w:tcBorders>
            <w:vAlign w:val="center"/>
          </w:tcPr>
          <w:p w14:paraId="2D69631B">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lang w:val="en-US" w:eastAsia="zh-CN"/>
              </w:rPr>
              <w:t>1</w:t>
            </w:r>
            <w:r>
              <w:rPr>
                <w:rFonts w:ascii="Times New Roman" w:hAnsi="Times New Roman"/>
                <w:b/>
                <w:bCs/>
                <w:kern w:val="0"/>
                <w:szCs w:val="21"/>
              </w:rPr>
              <w:t>年决算数</w:t>
            </w:r>
          </w:p>
        </w:tc>
        <w:tc>
          <w:tcPr>
            <w:tcW w:w="2153" w:type="dxa"/>
            <w:tcBorders>
              <w:top w:val="single" w:color="auto" w:sz="4" w:space="0"/>
              <w:left w:val="nil"/>
              <w:bottom w:val="single" w:color="auto" w:sz="4" w:space="0"/>
              <w:right w:val="single" w:color="000000" w:sz="4" w:space="0"/>
            </w:tcBorders>
            <w:vAlign w:val="center"/>
          </w:tcPr>
          <w:p w14:paraId="763A1F41">
            <w:pPr>
              <w:widowControl/>
              <w:jc w:val="center"/>
              <w:rPr>
                <w:rFonts w:ascii="Times New Roman" w:hAnsi="Times New Roman" w:eastAsia="Times New Roman"/>
                <w:b/>
                <w:bCs/>
                <w:kern w:val="0"/>
                <w:szCs w:val="21"/>
                <w:highlight w:val="none"/>
              </w:rPr>
            </w:pPr>
            <w:r>
              <w:rPr>
                <w:rFonts w:ascii="Times New Roman" w:hAnsi="Times New Roman"/>
                <w:b/>
                <w:bCs/>
                <w:kern w:val="0"/>
                <w:szCs w:val="21"/>
                <w:highlight w:val="none"/>
              </w:rPr>
              <w:t>202</w:t>
            </w:r>
            <w:r>
              <w:rPr>
                <w:rFonts w:hint="eastAsia" w:ascii="Times New Roman" w:hAnsi="Times New Roman"/>
                <w:b/>
                <w:bCs/>
                <w:kern w:val="0"/>
                <w:szCs w:val="21"/>
                <w:highlight w:val="none"/>
                <w:lang w:val="en-US" w:eastAsia="zh-CN"/>
              </w:rPr>
              <w:t>2</w:t>
            </w:r>
            <w:r>
              <w:rPr>
                <w:rFonts w:ascii="Times New Roman" w:hAnsi="Times New Roman"/>
                <w:b/>
                <w:bCs/>
                <w:kern w:val="0"/>
                <w:szCs w:val="21"/>
                <w:highlight w:val="none"/>
              </w:rPr>
              <w:t>年预算数</w:t>
            </w:r>
          </w:p>
        </w:tc>
        <w:tc>
          <w:tcPr>
            <w:tcW w:w="1761" w:type="dxa"/>
            <w:tcBorders>
              <w:top w:val="single" w:color="auto" w:sz="4" w:space="0"/>
              <w:left w:val="nil"/>
              <w:bottom w:val="single" w:color="auto" w:sz="4" w:space="0"/>
              <w:right w:val="single" w:color="000000" w:sz="4" w:space="0"/>
            </w:tcBorders>
            <w:vAlign w:val="center"/>
          </w:tcPr>
          <w:p w14:paraId="51B3A2B2">
            <w:pPr>
              <w:widowControl/>
              <w:jc w:val="center"/>
              <w:rPr>
                <w:rFonts w:ascii="Times New Roman" w:hAnsi="Times New Roman" w:eastAsia="Times New Roman"/>
                <w:b/>
                <w:bCs/>
                <w:kern w:val="0"/>
                <w:szCs w:val="21"/>
                <w:highlight w:val="none"/>
              </w:rPr>
            </w:pPr>
            <w:r>
              <w:rPr>
                <w:rFonts w:ascii="Times New Roman" w:hAnsi="Times New Roman"/>
                <w:b/>
                <w:bCs/>
                <w:kern w:val="0"/>
                <w:szCs w:val="21"/>
                <w:highlight w:val="none"/>
              </w:rPr>
              <w:t>202</w:t>
            </w:r>
            <w:r>
              <w:rPr>
                <w:rFonts w:hint="eastAsia" w:ascii="Times New Roman" w:hAnsi="Times New Roman"/>
                <w:b/>
                <w:bCs/>
                <w:kern w:val="0"/>
                <w:szCs w:val="21"/>
                <w:highlight w:val="none"/>
                <w:lang w:val="en-US" w:eastAsia="zh-CN"/>
              </w:rPr>
              <w:t>2</w:t>
            </w:r>
            <w:r>
              <w:rPr>
                <w:rFonts w:ascii="Times New Roman" w:hAnsi="Times New Roman"/>
                <w:b/>
                <w:bCs/>
                <w:kern w:val="0"/>
                <w:szCs w:val="21"/>
                <w:highlight w:val="none"/>
              </w:rPr>
              <w:t>年决算数</w:t>
            </w:r>
          </w:p>
        </w:tc>
      </w:tr>
      <w:tr w14:paraId="4318489D">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19209496">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1938" w:type="dxa"/>
            <w:tcBorders>
              <w:top w:val="single" w:color="auto" w:sz="4" w:space="0"/>
              <w:left w:val="nil"/>
              <w:bottom w:val="single" w:color="auto" w:sz="4" w:space="0"/>
              <w:right w:val="single" w:color="000000" w:sz="4" w:space="0"/>
            </w:tcBorders>
            <w:vAlign w:val="center"/>
          </w:tcPr>
          <w:p w14:paraId="2D897475">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405.79</w:t>
            </w:r>
          </w:p>
        </w:tc>
        <w:tc>
          <w:tcPr>
            <w:tcW w:w="2153" w:type="dxa"/>
            <w:tcBorders>
              <w:top w:val="single" w:color="auto" w:sz="4" w:space="0"/>
              <w:left w:val="nil"/>
              <w:bottom w:val="single" w:color="auto" w:sz="4" w:space="0"/>
              <w:right w:val="single" w:color="000000" w:sz="4" w:space="0"/>
            </w:tcBorders>
            <w:vAlign w:val="center"/>
          </w:tcPr>
          <w:p w14:paraId="4D4A0020">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cs="Times New Roman"/>
                <w:kern w:val="0"/>
                <w:sz w:val="21"/>
                <w:szCs w:val="21"/>
                <w:highlight w:val="none"/>
                <w:lang w:val="en-US" w:eastAsia="zh-CN" w:bidi="ar-SA"/>
              </w:rPr>
              <w:t>493.51</w:t>
            </w:r>
          </w:p>
        </w:tc>
        <w:tc>
          <w:tcPr>
            <w:tcW w:w="1761" w:type="dxa"/>
            <w:tcBorders>
              <w:top w:val="single" w:color="auto" w:sz="4" w:space="0"/>
              <w:left w:val="nil"/>
              <w:bottom w:val="single" w:color="auto" w:sz="4" w:space="0"/>
              <w:right w:val="single" w:color="000000" w:sz="4" w:space="0"/>
            </w:tcBorders>
            <w:vAlign w:val="center"/>
          </w:tcPr>
          <w:p w14:paraId="7C461A7B">
            <w:pPr>
              <w:widowControl/>
              <w:jc w:val="center"/>
              <w:rPr>
                <w:rFonts w:hint="default" w:ascii="Times New Roman" w:hAnsi="Times New Roman" w:eastAsia="宋体"/>
                <w:kern w:val="0"/>
                <w:szCs w:val="21"/>
                <w:highlight w:val="none"/>
                <w:lang w:val="en-US" w:eastAsia="zh-CN"/>
              </w:rPr>
            </w:pPr>
            <w:r>
              <w:rPr>
                <w:rFonts w:hint="eastAsia" w:ascii="Times New Roman" w:hAnsi="Times New Roman"/>
                <w:kern w:val="0"/>
                <w:szCs w:val="21"/>
                <w:highlight w:val="none"/>
                <w:lang w:val="en-US" w:eastAsia="zh-CN"/>
              </w:rPr>
              <w:t>493.51</w:t>
            </w:r>
          </w:p>
        </w:tc>
      </w:tr>
      <w:tr w14:paraId="29770F7A">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72378A5F">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1938" w:type="dxa"/>
            <w:tcBorders>
              <w:top w:val="single" w:color="auto" w:sz="4" w:space="0"/>
              <w:left w:val="nil"/>
              <w:bottom w:val="single" w:color="auto" w:sz="4" w:space="0"/>
              <w:right w:val="single" w:color="000000" w:sz="4" w:space="0"/>
            </w:tcBorders>
            <w:shd w:val="clear" w:color="auto" w:fill="auto"/>
            <w:vAlign w:val="center"/>
          </w:tcPr>
          <w:p w14:paraId="1B824B63">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150.12</w:t>
            </w:r>
          </w:p>
        </w:tc>
        <w:tc>
          <w:tcPr>
            <w:tcW w:w="2153" w:type="dxa"/>
            <w:tcBorders>
              <w:top w:val="single" w:color="auto" w:sz="4" w:space="0"/>
              <w:left w:val="nil"/>
              <w:bottom w:val="single" w:color="auto" w:sz="4" w:space="0"/>
              <w:right w:val="single" w:color="000000" w:sz="4" w:space="0"/>
            </w:tcBorders>
            <w:shd w:val="clear" w:color="auto" w:fill="auto"/>
            <w:vAlign w:val="center"/>
          </w:tcPr>
          <w:p w14:paraId="76BDAA87">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 xml:space="preserve">138.8 </w:t>
            </w:r>
          </w:p>
        </w:tc>
        <w:tc>
          <w:tcPr>
            <w:tcW w:w="1761" w:type="dxa"/>
            <w:tcBorders>
              <w:top w:val="single" w:color="auto" w:sz="4" w:space="0"/>
              <w:left w:val="nil"/>
              <w:bottom w:val="single" w:color="auto" w:sz="4" w:space="0"/>
              <w:right w:val="single" w:color="000000" w:sz="4" w:space="0"/>
            </w:tcBorders>
            <w:shd w:val="clear" w:color="auto" w:fill="auto"/>
            <w:vAlign w:val="center"/>
          </w:tcPr>
          <w:p w14:paraId="61BD7718">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138.8</w:t>
            </w:r>
          </w:p>
        </w:tc>
      </w:tr>
      <w:tr w14:paraId="3D493A70">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70A5A930">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1938" w:type="dxa"/>
            <w:tcBorders>
              <w:top w:val="single" w:color="auto" w:sz="4" w:space="0"/>
              <w:left w:val="nil"/>
              <w:bottom w:val="single" w:color="auto" w:sz="4" w:space="0"/>
              <w:right w:val="single" w:color="000000" w:sz="4" w:space="0"/>
            </w:tcBorders>
            <w:shd w:val="clear" w:color="auto" w:fill="auto"/>
            <w:vAlign w:val="center"/>
          </w:tcPr>
          <w:p w14:paraId="59784283">
            <w:pPr>
              <w:widowControl/>
              <w:jc w:val="center"/>
              <w:rPr>
                <w:rFonts w:hint="default" w:ascii="Times New Roman" w:hAnsi="Times New Roman" w:eastAsia="Times New Roman"/>
                <w:kern w:val="0"/>
                <w:szCs w:val="21"/>
                <w:lang w:val="en-US"/>
              </w:rPr>
            </w:pPr>
            <w:r>
              <w:rPr>
                <w:rFonts w:hint="eastAsia" w:ascii="Times New Roman" w:hAnsi="Times New Roman"/>
                <w:kern w:val="0"/>
                <w:szCs w:val="21"/>
                <w:lang w:val="en-US" w:eastAsia="zh-CN"/>
              </w:rPr>
              <w:t>139.07</w:t>
            </w:r>
          </w:p>
        </w:tc>
        <w:tc>
          <w:tcPr>
            <w:tcW w:w="2153" w:type="dxa"/>
            <w:tcBorders>
              <w:top w:val="single" w:color="auto" w:sz="4" w:space="0"/>
              <w:left w:val="nil"/>
              <w:bottom w:val="single" w:color="auto" w:sz="4" w:space="0"/>
              <w:right w:val="single" w:color="000000" w:sz="4" w:space="0"/>
            </w:tcBorders>
            <w:shd w:val="clear" w:color="auto" w:fill="auto"/>
            <w:vAlign w:val="center"/>
          </w:tcPr>
          <w:p w14:paraId="23AE1D6E">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125.22</w:t>
            </w:r>
          </w:p>
        </w:tc>
        <w:tc>
          <w:tcPr>
            <w:tcW w:w="1761" w:type="dxa"/>
            <w:tcBorders>
              <w:top w:val="single" w:color="auto" w:sz="4" w:space="0"/>
              <w:left w:val="nil"/>
              <w:bottom w:val="single" w:color="auto" w:sz="4" w:space="0"/>
              <w:right w:val="single" w:color="000000" w:sz="4" w:space="0"/>
            </w:tcBorders>
            <w:shd w:val="clear" w:color="auto" w:fill="auto"/>
            <w:vAlign w:val="center"/>
          </w:tcPr>
          <w:p w14:paraId="635A9C4D">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128.17</w:t>
            </w:r>
          </w:p>
        </w:tc>
      </w:tr>
      <w:tr w14:paraId="7772F27F">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6770C4DD">
            <w:pPr>
              <w:widowControl/>
              <w:jc w:val="left"/>
              <w:rPr>
                <w:rFonts w:ascii="Times New Roman" w:hAnsi="Times New Roman" w:eastAsia="Times New Roman"/>
                <w:kern w:val="0"/>
                <w:szCs w:val="21"/>
              </w:rPr>
            </w:pPr>
            <w:r>
              <w:rPr>
                <w:rFonts w:ascii="Times New Roman" w:hAnsi="Times New Roman"/>
                <w:kern w:val="0"/>
                <w:szCs w:val="21"/>
              </w:rPr>
              <w:t>水费、电费、差旅费</w:t>
            </w:r>
          </w:p>
        </w:tc>
        <w:tc>
          <w:tcPr>
            <w:tcW w:w="1938" w:type="dxa"/>
            <w:tcBorders>
              <w:top w:val="single" w:color="auto" w:sz="4" w:space="0"/>
              <w:left w:val="nil"/>
              <w:bottom w:val="single" w:color="auto" w:sz="4" w:space="0"/>
              <w:right w:val="single" w:color="000000" w:sz="4" w:space="0"/>
            </w:tcBorders>
            <w:vAlign w:val="center"/>
          </w:tcPr>
          <w:p w14:paraId="0D087377">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6.46</w:t>
            </w:r>
          </w:p>
        </w:tc>
        <w:tc>
          <w:tcPr>
            <w:tcW w:w="2153" w:type="dxa"/>
            <w:tcBorders>
              <w:top w:val="single" w:color="auto" w:sz="4" w:space="0"/>
              <w:left w:val="nil"/>
              <w:bottom w:val="single" w:color="auto" w:sz="4" w:space="0"/>
              <w:right w:val="single" w:color="000000" w:sz="4" w:space="0"/>
            </w:tcBorders>
            <w:vAlign w:val="center"/>
          </w:tcPr>
          <w:p w14:paraId="6E040F4F">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7.58</w:t>
            </w:r>
          </w:p>
        </w:tc>
        <w:tc>
          <w:tcPr>
            <w:tcW w:w="1761" w:type="dxa"/>
            <w:tcBorders>
              <w:top w:val="single" w:color="auto" w:sz="4" w:space="0"/>
              <w:left w:val="nil"/>
              <w:bottom w:val="single" w:color="auto" w:sz="4" w:space="0"/>
              <w:right w:val="single" w:color="000000" w:sz="4" w:space="0"/>
            </w:tcBorders>
            <w:vAlign w:val="center"/>
          </w:tcPr>
          <w:p w14:paraId="01BAB485">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4.83</w:t>
            </w:r>
          </w:p>
        </w:tc>
      </w:tr>
      <w:tr w14:paraId="349AE13B">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44FC2313">
            <w:pPr>
              <w:widowControl/>
              <w:jc w:val="left"/>
              <w:rPr>
                <w:rFonts w:ascii="Times New Roman" w:hAnsi="Times New Roman" w:eastAsia="Times New Roman"/>
                <w:kern w:val="0"/>
                <w:szCs w:val="21"/>
              </w:rPr>
            </w:pPr>
            <w:r>
              <w:rPr>
                <w:rFonts w:ascii="Times New Roman" w:hAnsi="Times New Roman"/>
                <w:kern w:val="0"/>
                <w:szCs w:val="21"/>
              </w:rPr>
              <w:t>会议费、培训费</w:t>
            </w:r>
          </w:p>
        </w:tc>
        <w:tc>
          <w:tcPr>
            <w:tcW w:w="1938" w:type="dxa"/>
            <w:tcBorders>
              <w:top w:val="single" w:color="auto" w:sz="4" w:space="0"/>
              <w:left w:val="nil"/>
              <w:bottom w:val="single" w:color="auto" w:sz="4" w:space="0"/>
              <w:right w:val="single" w:color="000000" w:sz="4" w:space="0"/>
            </w:tcBorders>
            <w:vAlign w:val="center"/>
          </w:tcPr>
          <w:p w14:paraId="24E07C9D">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1.01</w:t>
            </w:r>
          </w:p>
        </w:tc>
        <w:tc>
          <w:tcPr>
            <w:tcW w:w="2153" w:type="dxa"/>
            <w:tcBorders>
              <w:top w:val="single" w:color="auto" w:sz="4" w:space="0"/>
              <w:left w:val="nil"/>
              <w:bottom w:val="single" w:color="auto" w:sz="4" w:space="0"/>
              <w:right w:val="single" w:color="000000" w:sz="4" w:space="0"/>
            </w:tcBorders>
            <w:vAlign w:val="center"/>
          </w:tcPr>
          <w:p w14:paraId="6C9587F8">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w:t>
            </w:r>
          </w:p>
        </w:tc>
        <w:tc>
          <w:tcPr>
            <w:tcW w:w="1761" w:type="dxa"/>
            <w:tcBorders>
              <w:top w:val="single" w:color="auto" w:sz="4" w:space="0"/>
              <w:left w:val="nil"/>
              <w:bottom w:val="single" w:color="auto" w:sz="4" w:space="0"/>
              <w:right w:val="single" w:color="000000" w:sz="4" w:space="0"/>
            </w:tcBorders>
            <w:vAlign w:val="center"/>
          </w:tcPr>
          <w:p w14:paraId="71AB7396">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1.5</w:t>
            </w:r>
          </w:p>
        </w:tc>
      </w:tr>
      <w:tr w14:paraId="325B9D45">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19CB8F6F">
            <w:pPr>
              <w:widowControl/>
              <w:ind w:firstLine="945" w:firstLineChars="450"/>
              <w:jc w:val="left"/>
              <w:rPr>
                <w:rFonts w:ascii="Times New Roman" w:hAnsi="Times New Roman" w:eastAsia="Times New Roman"/>
                <w:kern w:val="0"/>
                <w:szCs w:val="21"/>
              </w:rPr>
            </w:pPr>
            <w:r>
              <w:rPr>
                <w:rFonts w:ascii="Times New Roman" w:hAnsi="Times New Roman"/>
                <w:kern w:val="0"/>
                <w:szCs w:val="21"/>
              </w:rPr>
              <w:t>三公经费</w:t>
            </w:r>
          </w:p>
        </w:tc>
        <w:tc>
          <w:tcPr>
            <w:tcW w:w="1938" w:type="dxa"/>
            <w:tcBorders>
              <w:top w:val="single" w:color="auto" w:sz="4" w:space="0"/>
              <w:left w:val="nil"/>
              <w:bottom w:val="single" w:color="auto" w:sz="4" w:space="0"/>
              <w:right w:val="single" w:color="000000" w:sz="4" w:space="0"/>
            </w:tcBorders>
            <w:vAlign w:val="center"/>
          </w:tcPr>
          <w:p w14:paraId="6572FA53">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3.58</w:t>
            </w:r>
          </w:p>
        </w:tc>
        <w:tc>
          <w:tcPr>
            <w:tcW w:w="2153" w:type="dxa"/>
            <w:tcBorders>
              <w:top w:val="single" w:color="auto" w:sz="4" w:space="0"/>
              <w:left w:val="nil"/>
              <w:bottom w:val="single" w:color="auto" w:sz="4" w:space="0"/>
              <w:right w:val="single" w:color="000000" w:sz="4" w:space="0"/>
            </w:tcBorders>
            <w:vAlign w:val="center"/>
          </w:tcPr>
          <w:p w14:paraId="577DD7C4">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5</w:t>
            </w:r>
          </w:p>
        </w:tc>
        <w:tc>
          <w:tcPr>
            <w:tcW w:w="1761" w:type="dxa"/>
            <w:tcBorders>
              <w:top w:val="single" w:color="auto" w:sz="4" w:space="0"/>
              <w:left w:val="nil"/>
              <w:bottom w:val="single" w:color="auto" w:sz="4" w:space="0"/>
              <w:right w:val="single" w:color="000000" w:sz="4" w:space="0"/>
            </w:tcBorders>
            <w:vAlign w:val="center"/>
          </w:tcPr>
          <w:p w14:paraId="15E55279">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4.3</w:t>
            </w:r>
          </w:p>
        </w:tc>
      </w:tr>
      <w:tr w14:paraId="79EE7F77">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332B6FFC">
            <w:pPr>
              <w:widowControl/>
              <w:jc w:val="left"/>
              <w:rPr>
                <w:rFonts w:ascii="Times New Roman" w:hAnsi="Times New Roman" w:eastAsia="Times New Roman"/>
                <w:kern w:val="0"/>
                <w:szCs w:val="21"/>
              </w:rPr>
            </w:pPr>
            <w:r>
              <w:rPr>
                <w:rFonts w:ascii="Times New Roman" w:hAnsi="Times New Roman"/>
                <w:kern w:val="0"/>
                <w:szCs w:val="21"/>
              </w:rPr>
              <w:t xml:space="preserve">   1、公务用车购置和维护经费</w:t>
            </w:r>
          </w:p>
        </w:tc>
        <w:tc>
          <w:tcPr>
            <w:tcW w:w="1938" w:type="dxa"/>
            <w:tcBorders>
              <w:top w:val="single" w:color="auto" w:sz="4" w:space="0"/>
              <w:left w:val="nil"/>
              <w:bottom w:val="single" w:color="auto" w:sz="4" w:space="0"/>
              <w:right w:val="single" w:color="000000" w:sz="4" w:space="0"/>
            </w:tcBorders>
            <w:vAlign w:val="center"/>
          </w:tcPr>
          <w:p w14:paraId="08BDEDDF">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3.34</w:t>
            </w:r>
          </w:p>
        </w:tc>
        <w:tc>
          <w:tcPr>
            <w:tcW w:w="2153" w:type="dxa"/>
            <w:tcBorders>
              <w:top w:val="single" w:color="auto" w:sz="4" w:space="0"/>
              <w:left w:val="nil"/>
              <w:bottom w:val="single" w:color="auto" w:sz="4" w:space="0"/>
              <w:right w:val="single" w:color="000000" w:sz="4" w:space="0"/>
            </w:tcBorders>
            <w:vAlign w:val="center"/>
          </w:tcPr>
          <w:p w14:paraId="4D15FF4B">
            <w:pPr>
              <w:widowControl/>
              <w:jc w:val="center"/>
              <w:rPr>
                <w:rFonts w:hint="default" w:ascii="Times New Roman" w:hAnsi="Times New Roman" w:eastAsia="Times New Roman" w:cs="Times New Roman"/>
                <w:kern w:val="0"/>
                <w:sz w:val="21"/>
                <w:szCs w:val="21"/>
                <w:lang w:val="en-US" w:eastAsia="zh-CN" w:bidi="ar-SA"/>
              </w:rPr>
            </w:pPr>
            <w:r>
              <w:rPr>
                <w:rFonts w:hint="eastAsia" w:ascii="Times New Roman" w:hAnsi="Times New Roman" w:eastAsia="Times New Roman" w:cs="Times New Roman"/>
                <w:kern w:val="0"/>
                <w:sz w:val="21"/>
                <w:szCs w:val="21"/>
                <w:lang w:val="en-US" w:eastAsia="zh-CN" w:bidi="ar-SA"/>
              </w:rPr>
              <w:t>4</w:t>
            </w:r>
          </w:p>
        </w:tc>
        <w:tc>
          <w:tcPr>
            <w:tcW w:w="1761" w:type="dxa"/>
            <w:tcBorders>
              <w:top w:val="single" w:color="auto" w:sz="4" w:space="0"/>
              <w:left w:val="nil"/>
              <w:bottom w:val="single" w:color="auto" w:sz="4" w:space="0"/>
              <w:right w:val="single" w:color="000000" w:sz="4" w:space="0"/>
            </w:tcBorders>
            <w:vAlign w:val="center"/>
          </w:tcPr>
          <w:p w14:paraId="47074D17">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3.93</w:t>
            </w:r>
          </w:p>
        </w:tc>
      </w:tr>
      <w:tr w14:paraId="349E3F03">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72C36965">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1938" w:type="dxa"/>
            <w:tcBorders>
              <w:top w:val="single" w:color="auto" w:sz="4" w:space="0"/>
              <w:left w:val="nil"/>
              <w:bottom w:val="single" w:color="auto" w:sz="4" w:space="0"/>
              <w:right w:val="single" w:color="000000" w:sz="4" w:space="0"/>
            </w:tcBorders>
            <w:vAlign w:val="center"/>
          </w:tcPr>
          <w:p w14:paraId="0A8C7A14">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p>
        </w:tc>
        <w:tc>
          <w:tcPr>
            <w:tcW w:w="2153" w:type="dxa"/>
            <w:tcBorders>
              <w:top w:val="single" w:color="auto" w:sz="4" w:space="0"/>
              <w:left w:val="nil"/>
              <w:bottom w:val="single" w:color="auto" w:sz="4" w:space="0"/>
              <w:right w:val="single" w:color="000000" w:sz="4" w:space="0"/>
            </w:tcBorders>
            <w:vAlign w:val="center"/>
          </w:tcPr>
          <w:p w14:paraId="16CA0576">
            <w:pPr>
              <w:widowControl/>
              <w:jc w:val="center"/>
              <w:rPr>
                <w:rFonts w:hint="default" w:ascii="Times New Roman" w:hAnsi="Times New Roman" w:eastAsia="Times New Roman" w:cs="Times New Roman"/>
                <w:kern w:val="0"/>
                <w:sz w:val="21"/>
                <w:szCs w:val="21"/>
                <w:lang w:val="en-US" w:eastAsia="zh-CN" w:bidi="ar-SA"/>
              </w:rPr>
            </w:pPr>
            <w:r>
              <w:rPr>
                <w:rFonts w:hint="eastAsia" w:ascii="Times New Roman" w:hAnsi="Times New Roman" w:eastAsia="Times New Roman" w:cs="Times New Roman"/>
                <w:kern w:val="0"/>
                <w:sz w:val="21"/>
                <w:szCs w:val="21"/>
                <w:lang w:val="en-US" w:eastAsia="zh-CN" w:bidi="ar-SA"/>
              </w:rPr>
              <w:t>0</w:t>
            </w:r>
          </w:p>
        </w:tc>
        <w:tc>
          <w:tcPr>
            <w:tcW w:w="1761" w:type="dxa"/>
            <w:tcBorders>
              <w:top w:val="single" w:color="auto" w:sz="4" w:space="0"/>
              <w:left w:val="nil"/>
              <w:bottom w:val="single" w:color="auto" w:sz="4" w:space="0"/>
              <w:right w:val="single" w:color="000000" w:sz="4" w:space="0"/>
            </w:tcBorders>
            <w:vAlign w:val="center"/>
          </w:tcPr>
          <w:p w14:paraId="43C95C9A">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0</w:t>
            </w:r>
          </w:p>
        </w:tc>
      </w:tr>
      <w:tr w14:paraId="66FCD23D">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32AC4A43">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1938" w:type="dxa"/>
            <w:tcBorders>
              <w:top w:val="single" w:color="auto" w:sz="4" w:space="0"/>
              <w:left w:val="nil"/>
              <w:bottom w:val="single" w:color="auto" w:sz="4" w:space="0"/>
              <w:right w:val="single" w:color="000000" w:sz="4" w:space="0"/>
            </w:tcBorders>
            <w:vAlign w:val="center"/>
          </w:tcPr>
          <w:p w14:paraId="03D0C57E">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3.34</w:t>
            </w:r>
          </w:p>
        </w:tc>
        <w:tc>
          <w:tcPr>
            <w:tcW w:w="2153" w:type="dxa"/>
            <w:tcBorders>
              <w:top w:val="single" w:color="auto" w:sz="4" w:space="0"/>
              <w:left w:val="nil"/>
              <w:bottom w:val="single" w:color="auto" w:sz="4" w:space="0"/>
              <w:right w:val="single" w:color="000000" w:sz="4" w:space="0"/>
            </w:tcBorders>
            <w:vAlign w:val="center"/>
          </w:tcPr>
          <w:p w14:paraId="411A46D1">
            <w:pPr>
              <w:widowControl/>
              <w:jc w:val="center"/>
              <w:rPr>
                <w:rFonts w:hint="default" w:ascii="Times New Roman" w:hAnsi="Times New Roman" w:eastAsia="Times New Roman" w:cs="Times New Roman"/>
                <w:kern w:val="0"/>
                <w:sz w:val="21"/>
                <w:szCs w:val="21"/>
                <w:lang w:val="en-US" w:eastAsia="zh-CN" w:bidi="ar-SA"/>
              </w:rPr>
            </w:pPr>
            <w:r>
              <w:rPr>
                <w:rFonts w:hint="eastAsia" w:ascii="Times New Roman" w:hAnsi="Times New Roman" w:eastAsia="Times New Roman" w:cs="Times New Roman"/>
                <w:kern w:val="0"/>
                <w:sz w:val="21"/>
                <w:szCs w:val="21"/>
                <w:lang w:val="en-US" w:eastAsia="zh-CN" w:bidi="ar-SA"/>
              </w:rPr>
              <w:t>4</w:t>
            </w:r>
          </w:p>
        </w:tc>
        <w:tc>
          <w:tcPr>
            <w:tcW w:w="1761" w:type="dxa"/>
            <w:tcBorders>
              <w:top w:val="single" w:color="auto" w:sz="4" w:space="0"/>
              <w:left w:val="nil"/>
              <w:bottom w:val="single" w:color="auto" w:sz="4" w:space="0"/>
              <w:right w:val="single" w:color="000000" w:sz="4" w:space="0"/>
            </w:tcBorders>
            <w:vAlign w:val="center"/>
          </w:tcPr>
          <w:p w14:paraId="01B7E7DF">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3.93</w:t>
            </w:r>
          </w:p>
        </w:tc>
      </w:tr>
      <w:tr w14:paraId="7B924BFA">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16B56BAB">
            <w:pPr>
              <w:widowControl/>
              <w:jc w:val="left"/>
              <w:rPr>
                <w:rFonts w:ascii="Times New Roman" w:hAnsi="Times New Roman" w:eastAsia="Times New Roman"/>
                <w:kern w:val="0"/>
                <w:szCs w:val="21"/>
              </w:rPr>
            </w:pPr>
            <w:r>
              <w:rPr>
                <w:rFonts w:ascii="Times New Roman" w:hAnsi="Times New Roman"/>
                <w:kern w:val="0"/>
                <w:szCs w:val="21"/>
              </w:rPr>
              <w:t xml:space="preserve">   2、出国经费</w:t>
            </w:r>
          </w:p>
        </w:tc>
        <w:tc>
          <w:tcPr>
            <w:tcW w:w="1938" w:type="dxa"/>
            <w:tcBorders>
              <w:top w:val="single" w:color="auto" w:sz="4" w:space="0"/>
              <w:left w:val="nil"/>
              <w:bottom w:val="single" w:color="auto" w:sz="4" w:space="0"/>
              <w:right w:val="single" w:color="000000" w:sz="4" w:space="0"/>
            </w:tcBorders>
            <w:vAlign w:val="center"/>
          </w:tcPr>
          <w:p w14:paraId="579E5D96">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p>
        </w:tc>
        <w:tc>
          <w:tcPr>
            <w:tcW w:w="2153" w:type="dxa"/>
            <w:tcBorders>
              <w:top w:val="single" w:color="auto" w:sz="4" w:space="0"/>
              <w:left w:val="nil"/>
              <w:bottom w:val="single" w:color="auto" w:sz="4" w:space="0"/>
              <w:right w:val="single" w:color="000000" w:sz="4" w:space="0"/>
            </w:tcBorders>
            <w:vAlign w:val="center"/>
          </w:tcPr>
          <w:p w14:paraId="46CA0768">
            <w:pPr>
              <w:widowControl/>
              <w:jc w:val="center"/>
              <w:rPr>
                <w:rFonts w:hint="default" w:ascii="Times New Roman" w:hAnsi="Times New Roman" w:eastAsia="Times New Roman" w:cs="Times New Roman"/>
                <w:kern w:val="0"/>
                <w:sz w:val="21"/>
                <w:szCs w:val="21"/>
                <w:lang w:val="en-US" w:eastAsia="zh-CN" w:bidi="ar-SA"/>
              </w:rPr>
            </w:pPr>
            <w:r>
              <w:rPr>
                <w:rFonts w:hint="eastAsia" w:ascii="Times New Roman" w:hAnsi="Times New Roman" w:eastAsia="Times New Roman" w:cs="Times New Roman"/>
                <w:kern w:val="0"/>
                <w:sz w:val="21"/>
                <w:szCs w:val="21"/>
                <w:lang w:val="en-US" w:eastAsia="zh-CN" w:bidi="ar-SA"/>
              </w:rPr>
              <w:t>0</w:t>
            </w:r>
          </w:p>
        </w:tc>
        <w:tc>
          <w:tcPr>
            <w:tcW w:w="1761" w:type="dxa"/>
            <w:tcBorders>
              <w:top w:val="single" w:color="auto" w:sz="4" w:space="0"/>
              <w:left w:val="nil"/>
              <w:bottom w:val="single" w:color="auto" w:sz="4" w:space="0"/>
              <w:right w:val="single" w:color="000000" w:sz="4" w:space="0"/>
            </w:tcBorders>
            <w:vAlign w:val="center"/>
          </w:tcPr>
          <w:p w14:paraId="4DEAD9B7">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0</w:t>
            </w:r>
          </w:p>
        </w:tc>
      </w:tr>
      <w:tr w14:paraId="6E3C51C8">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6FAF36D9">
            <w:pPr>
              <w:widowControl/>
              <w:jc w:val="left"/>
              <w:rPr>
                <w:rFonts w:ascii="Times New Roman" w:hAnsi="Times New Roman" w:eastAsia="Times New Roman"/>
                <w:kern w:val="0"/>
                <w:szCs w:val="21"/>
              </w:rPr>
            </w:pPr>
            <w:r>
              <w:rPr>
                <w:rFonts w:ascii="Times New Roman" w:hAnsi="Times New Roman"/>
                <w:kern w:val="0"/>
                <w:szCs w:val="21"/>
              </w:rPr>
              <w:t xml:space="preserve">   3、公务接待</w:t>
            </w:r>
          </w:p>
        </w:tc>
        <w:tc>
          <w:tcPr>
            <w:tcW w:w="1938" w:type="dxa"/>
            <w:tcBorders>
              <w:top w:val="single" w:color="auto" w:sz="4" w:space="0"/>
              <w:left w:val="nil"/>
              <w:bottom w:val="single" w:color="auto" w:sz="4" w:space="0"/>
              <w:right w:val="single" w:color="000000" w:sz="4" w:space="0"/>
            </w:tcBorders>
            <w:vAlign w:val="center"/>
          </w:tcPr>
          <w:p w14:paraId="7BA723F4">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0.24</w:t>
            </w:r>
          </w:p>
        </w:tc>
        <w:tc>
          <w:tcPr>
            <w:tcW w:w="2153" w:type="dxa"/>
            <w:tcBorders>
              <w:top w:val="single" w:color="auto" w:sz="4" w:space="0"/>
              <w:left w:val="nil"/>
              <w:bottom w:val="single" w:color="auto" w:sz="4" w:space="0"/>
              <w:right w:val="single" w:color="000000" w:sz="4" w:space="0"/>
            </w:tcBorders>
            <w:vAlign w:val="center"/>
          </w:tcPr>
          <w:p w14:paraId="1B257A9A">
            <w:pPr>
              <w:widowControl/>
              <w:jc w:val="center"/>
              <w:rPr>
                <w:rFonts w:hint="default" w:ascii="Times New Roman" w:hAnsi="Times New Roman" w:eastAsia="Times New Roman" w:cs="Times New Roman"/>
                <w:kern w:val="0"/>
                <w:sz w:val="21"/>
                <w:szCs w:val="21"/>
                <w:lang w:val="en-US" w:eastAsia="zh-CN" w:bidi="ar-SA"/>
              </w:rPr>
            </w:pPr>
            <w:r>
              <w:rPr>
                <w:rFonts w:hint="eastAsia" w:ascii="Times New Roman" w:hAnsi="Times New Roman" w:eastAsia="Times New Roman" w:cs="Times New Roman"/>
                <w:kern w:val="0"/>
                <w:sz w:val="21"/>
                <w:szCs w:val="21"/>
                <w:lang w:val="en-US" w:eastAsia="zh-CN" w:bidi="ar-SA"/>
              </w:rPr>
              <w:t>1</w:t>
            </w:r>
          </w:p>
        </w:tc>
        <w:tc>
          <w:tcPr>
            <w:tcW w:w="1761" w:type="dxa"/>
            <w:tcBorders>
              <w:top w:val="single" w:color="auto" w:sz="4" w:space="0"/>
              <w:left w:val="nil"/>
              <w:bottom w:val="single" w:color="auto" w:sz="4" w:space="0"/>
              <w:right w:val="single" w:color="000000" w:sz="4" w:space="0"/>
            </w:tcBorders>
            <w:vAlign w:val="center"/>
          </w:tcPr>
          <w:p w14:paraId="0AAE7F05">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0.37</w:t>
            </w:r>
          </w:p>
        </w:tc>
      </w:tr>
      <w:tr w14:paraId="0B366BEC">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6ADC6FC4">
            <w:pPr>
              <w:widowControl/>
              <w:jc w:val="left"/>
              <w:rPr>
                <w:rFonts w:ascii="Times New Roman" w:hAnsi="Times New Roman" w:eastAsia="Times New Roman"/>
                <w:kern w:val="0"/>
                <w:szCs w:val="21"/>
                <w:highlight w:val="none"/>
              </w:rPr>
            </w:pPr>
            <w:r>
              <w:rPr>
                <w:rFonts w:ascii="Times New Roman" w:hAnsi="Times New Roman"/>
                <w:kern w:val="0"/>
                <w:szCs w:val="21"/>
                <w:highlight w:val="none"/>
              </w:rPr>
              <w:t>二、部门项目支出</w:t>
            </w:r>
          </w:p>
        </w:tc>
        <w:tc>
          <w:tcPr>
            <w:tcW w:w="1938" w:type="dxa"/>
            <w:tcBorders>
              <w:top w:val="single" w:color="auto" w:sz="4" w:space="0"/>
              <w:left w:val="nil"/>
              <w:bottom w:val="single" w:color="auto" w:sz="4" w:space="0"/>
              <w:right w:val="single" w:color="000000" w:sz="4" w:space="0"/>
            </w:tcBorders>
            <w:vAlign w:val="center"/>
          </w:tcPr>
          <w:p w14:paraId="79B5F3B4">
            <w:pPr>
              <w:widowControl/>
              <w:jc w:val="center"/>
              <w:rPr>
                <w:rFonts w:ascii="Times New Roman" w:hAnsi="Times New Roman" w:eastAsia="Times New Roman"/>
                <w:kern w:val="0"/>
                <w:szCs w:val="21"/>
                <w:highlight w:val="none"/>
              </w:rPr>
            </w:pPr>
            <w:r>
              <w:rPr>
                <w:rFonts w:hint="eastAsia" w:ascii="Times New Roman" w:hAnsi="Times New Roman"/>
                <w:kern w:val="0"/>
                <w:szCs w:val="21"/>
                <w:highlight w:val="none"/>
                <w:lang w:val="en-US" w:eastAsia="zh-CN"/>
              </w:rPr>
              <w:t>141.59</w:t>
            </w:r>
          </w:p>
        </w:tc>
        <w:tc>
          <w:tcPr>
            <w:tcW w:w="2153" w:type="dxa"/>
            <w:tcBorders>
              <w:top w:val="single" w:color="auto" w:sz="4" w:space="0"/>
              <w:left w:val="nil"/>
              <w:bottom w:val="single" w:color="auto" w:sz="4" w:space="0"/>
              <w:right w:val="single" w:color="000000" w:sz="4" w:space="0"/>
            </w:tcBorders>
            <w:vAlign w:val="center"/>
          </w:tcPr>
          <w:p w14:paraId="6457EBDB">
            <w:pPr>
              <w:widowControl/>
              <w:jc w:val="center"/>
              <w:rPr>
                <w:rFonts w:hint="default" w:ascii="Times New Roman" w:hAnsi="Times New Roman" w:eastAsia="Times New Roman" w:cs="Times New Roman"/>
                <w:kern w:val="0"/>
                <w:sz w:val="21"/>
                <w:szCs w:val="21"/>
                <w:highlight w:val="none"/>
                <w:lang w:val="en-US" w:eastAsia="zh-CN" w:bidi="ar-SA"/>
              </w:rPr>
            </w:pPr>
            <w:r>
              <w:rPr>
                <w:rFonts w:hint="eastAsia" w:ascii="Times New Roman" w:hAnsi="Times New Roman" w:eastAsia="Times New Roman" w:cs="Times New Roman"/>
                <w:kern w:val="0"/>
                <w:sz w:val="21"/>
                <w:szCs w:val="21"/>
                <w:highlight w:val="none"/>
                <w:lang w:val="en-US" w:eastAsia="zh-CN" w:bidi="ar-SA"/>
              </w:rPr>
              <w:t>817.94</w:t>
            </w:r>
          </w:p>
        </w:tc>
        <w:tc>
          <w:tcPr>
            <w:tcW w:w="1761" w:type="dxa"/>
            <w:tcBorders>
              <w:top w:val="single" w:color="auto" w:sz="4" w:space="0"/>
              <w:left w:val="nil"/>
              <w:bottom w:val="single" w:color="auto" w:sz="4" w:space="0"/>
              <w:right w:val="single" w:color="000000" w:sz="4" w:space="0"/>
            </w:tcBorders>
            <w:vAlign w:val="center"/>
          </w:tcPr>
          <w:p w14:paraId="7A5E68B3">
            <w:pPr>
              <w:widowControl/>
              <w:jc w:val="center"/>
              <w:rPr>
                <w:rFonts w:hint="default" w:ascii="Times New Roman" w:hAnsi="Times New Roman" w:eastAsia="宋体"/>
                <w:kern w:val="0"/>
                <w:szCs w:val="21"/>
                <w:highlight w:val="none"/>
                <w:lang w:val="en-US" w:eastAsia="zh-CN"/>
              </w:rPr>
            </w:pPr>
            <w:r>
              <w:rPr>
                <w:rFonts w:hint="eastAsia" w:ascii="Times New Roman" w:hAnsi="Times New Roman" w:eastAsia="宋体"/>
                <w:kern w:val="0"/>
                <w:szCs w:val="21"/>
                <w:highlight w:val="none"/>
                <w:lang w:val="en-US" w:eastAsia="zh-CN"/>
              </w:rPr>
              <w:t>817.9</w:t>
            </w:r>
            <w:r>
              <w:rPr>
                <w:rFonts w:hint="eastAsia" w:ascii="Times New Roman" w:hAnsi="Times New Roman"/>
                <w:kern w:val="0"/>
                <w:szCs w:val="21"/>
                <w:highlight w:val="none"/>
                <w:lang w:val="en-US" w:eastAsia="zh-CN"/>
              </w:rPr>
              <w:t>4</w:t>
            </w:r>
          </w:p>
        </w:tc>
      </w:tr>
      <w:tr w14:paraId="4EF65302">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3F397A55">
            <w:pPr>
              <w:widowControl/>
              <w:jc w:val="both"/>
              <w:rPr>
                <w:rFonts w:ascii="Times New Roman" w:hAnsi="Times New Roman" w:eastAsia="Times New Roman"/>
                <w:kern w:val="0"/>
                <w:szCs w:val="21"/>
                <w:highlight w:val="none"/>
              </w:rPr>
            </w:pPr>
            <w:r>
              <w:rPr>
                <w:rFonts w:ascii="Times New Roman" w:hAnsi="Times New Roman"/>
                <w:kern w:val="0"/>
                <w:szCs w:val="21"/>
                <w:highlight w:val="none"/>
              </w:rPr>
              <w:t xml:space="preserve"> 1、业务工作专项(一个项目一行)</w:t>
            </w:r>
          </w:p>
        </w:tc>
        <w:tc>
          <w:tcPr>
            <w:tcW w:w="1938" w:type="dxa"/>
            <w:tcBorders>
              <w:top w:val="single" w:color="auto" w:sz="4" w:space="0"/>
              <w:left w:val="nil"/>
              <w:bottom w:val="single" w:color="auto" w:sz="4" w:space="0"/>
              <w:right w:val="single" w:color="000000" w:sz="4" w:space="0"/>
            </w:tcBorders>
            <w:vAlign w:val="center"/>
          </w:tcPr>
          <w:p w14:paraId="4967DDCF">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lang w:val="en-US" w:eastAsia="zh-CN"/>
              </w:rPr>
              <w:t>95.35</w:t>
            </w:r>
            <w:r>
              <w:rPr>
                <w:rFonts w:ascii="Times New Roman" w:hAnsi="Times New Roman"/>
                <w:kern w:val="0"/>
                <w:szCs w:val="21"/>
                <w:highlight w:val="none"/>
              </w:rPr>
              <w:t>　</w:t>
            </w:r>
          </w:p>
        </w:tc>
        <w:tc>
          <w:tcPr>
            <w:tcW w:w="2153" w:type="dxa"/>
            <w:tcBorders>
              <w:top w:val="single" w:color="auto" w:sz="4" w:space="0"/>
              <w:left w:val="nil"/>
              <w:bottom w:val="single" w:color="auto" w:sz="4" w:space="0"/>
              <w:right w:val="single" w:color="000000" w:sz="4" w:space="0"/>
            </w:tcBorders>
            <w:vAlign w:val="center"/>
          </w:tcPr>
          <w:p w14:paraId="33B9967C">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cs="Times New Roman"/>
                <w:kern w:val="0"/>
                <w:sz w:val="21"/>
                <w:szCs w:val="21"/>
                <w:highlight w:val="none"/>
                <w:lang w:val="en-US" w:eastAsia="zh-CN" w:bidi="ar-SA"/>
              </w:rPr>
              <w:t>81</w:t>
            </w:r>
          </w:p>
        </w:tc>
        <w:tc>
          <w:tcPr>
            <w:tcW w:w="1761" w:type="dxa"/>
            <w:tcBorders>
              <w:top w:val="single" w:color="auto" w:sz="4" w:space="0"/>
              <w:left w:val="nil"/>
              <w:bottom w:val="single" w:color="auto" w:sz="4" w:space="0"/>
              <w:right w:val="single" w:color="000000" w:sz="4" w:space="0"/>
            </w:tcBorders>
            <w:vAlign w:val="center"/>
          </w:tcPr>
          <w:p w14:paraId="571F13E8">
            <w:pPr>
              <w:widowControl/>
              <w:jc w:val="center"/>
              <w:rPr>
                <w:rFonts w:hint="default" w:ascii="Times New Roman" w:hAnsi="Times New Roman" w:eastAsia="宋体"/>
                <w:kern w:val="0"/>
                <w:szCs w:val="21"/>
                <w:highlight w:val="none"/>
                <w:lang w:val="en-US" w:eastAsia="zh-CN"/>
              </w:rPr>
            </w:pPr>
            <w:r>
              <w:rPr>
                <w:rFonts w:hint="eastAsia" w:ascii="Times New Roman" w:hAnsi="Times New Roman" w:eastAsia="宋体"/>
                <w:kern w:val="0"/>
                <w:szCs w:val="21"/>
                <w:highlight w:val="none"/>
                <w:lang w:val="en-US" w:eastAsia="zh-CN"/>
              </w:rPr>
              <w:t>81</w:t>
            </w:r>
          </w:p>
        </w:tc>
      </w:tr>
      <w:tr w14:paraId="4258282E">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3A160E96">
            <w:pPr>
              <w:widowControl/>
              <w:jc w:val="both"/>
              <w:rPr>
                <w:rFonts w:ascii="Times New Roman" w:hAnsi="Times New Roman"/>
                <w:kern w:val="0"/>
                <w:szCs w:val="21"/>
              </w:rPr>
            </w:pPr>
            <w:r>
              <w:rPr>
                <w:rFonts w:hint="default" w:ascii="Times New Roman" w:hAnsi="Times New Roman" w:eastAsia="宋体"/>
                <w:kern w:val="0"/>
                <w:szCs w:val="21"/>
                <w:lang w:val="en-US" w:eastAsia="zh-CN"/>
              </w:rPr>
              <w:t>公车信息化平台建设</w:t>
            </w:r>
          </w:p>
        </w:tc>
        <w:tc>
          <w:tcPr>
            <w:tcW w:w="1938" w:type="dxa"/>
            <w:tcBorders>
              <w:top w:val="single" w:color="auto" w:sz="4" w:space="0"/>
              <w:left w:val="nil"/>
              <w:bottom w:val="single" w:color="auto" w:sz="4" w:space="0"/>
              <w:right w:val="single" w:color="000000" w:sz="4" w:space="0"/>
            </w:tcBorders>
            <w:vAlign w:val="center"/>
          </w:tcPr>
          <w:p w14:paraId="605A05FD">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61.4</w:t>
            </w:r>
          </w:p>
        </w:tc>
        <w:tc>
          <w:tcPr>
            <w:tcW w:w="2153" w:type="dxa"/>
            <w:tcBorders>
              <w:top w:val="single" w:color="auto" w:sz="4" w:space="0"/>
              <w:left w:val="nil"/>
              <w:bottom w:val="single" w:color="auto" w:sz="4" w:space="0"/>
              <w:right w:val="single" w:color="000000" w:sz="4" w:space="0"/>
            </w:tcBorders>
            <w:vAlign w:val="center"/>
          </w:tcPr>
          <w:p w14:paraId="29D60771">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45</w:t>
            </w:r>
          </w:p>
        </w:tc>
        <w:tc>
          <w:tcPr>
            <w:tcW w:w="1761" w:type="dxa"/>
            <w:tcBorders>
              <w:top w:val="single" w:color="auto" w:sz="4" w:space="0"/>
              <w:left w:val="nil"/>
              <w:bottom w:val="single" w:color="auto" w:sz="4" w:space="0"/>
              <w:right w:val="single" w:color="000000" w:sz="4" w:space="0"/>
            </w:tcBorders>
            <w:vAlign w:val="center"/>
          </w:tcPr>
          <w:p w14:paraId="6BDE098E">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45</w:t>
            </w:r>
          </w:p>
        </w:tc>
      </w:tr>
      <w:tr w14:paraId="0BDA8D82">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25444320">
            <w:pPr>
              <w:widowControl/>
              <w:jc w:val="both"/>
              <w:rPr>
                <w:rFonts w:ascii="Times New Roman" w:hAnsi="Times New Roman"/>
                <w:kern w:val="0"/>
                <w:szCs w:val="21"/>
              </w:rPr>
            </w:pPr>
            <w:r>
              <w:rPr>
                <w:rFonts w:hint="eastAsia" w:ascii="Times New Roman" w:hAnsi="Times New Roman"/>
                <w:kern w:val="0"/>
                <w:szCs w:val="21"/>
              </w:rPr>
              <w:t>公共机构节能工作经费</w:t>
            </w:r>
          </w:p>
        </w:tc>
        <w:tc>
          <w:tcPr>
            <w:tcW w:w="1938" w:type="dxa"/>
            <w:tcBorders>
              <w:top w:val="single" w:color="auto" w:sz="4" w:space="0"/>
              <w:left w:val="nil"/>
              <w:bottom w:val="single" w:color="auto" w:sz="4" w:space="0"/>
              <w:right w:val="single" w:color="000000" w:sz="4" w:space="0"/>
            </w:tcBorders>
            <w:vAlign w:val="center"/>
          </w:tcPr>
          <w:p w14:paraId="1B9A3CEB">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19.68</w:t>
            </w:r>
          </w:p>
        </w:tc>
        <w:tc>
          <w:tcPr>
            <w:tcW w:w="2153" w:type="dxa"/>
            <w:tcBorders>
              <w:top w:val="single" w:color="auto" w:sz="4" w:space="0"/>
              <w:left w:val="nil"/>
              <w:bottom w:val="single" w:color="auto" w:sz="4" w:space="0"/>
              <w:right w:val="single" w:color="000000" w:sz="4" w:space="0"/>
            </w:tcBorders>
            <w:vAlign w:val="center"/>
          </w:tcPr>
          <w:p w14:paraId="3414F56F">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13.5</w:t>
            </w:r>
          </w:p>
        </w:tc>
        <w:tc>
          <w:tcPr>
            <w:tcW w:w="1761" w:type="dxa"/>
            <w:tcBorders>
              <w:top w:val="single" w:color="auto" w:sz="4" w:space="0"/>
              <w:left w:val="nil"/>
              <w:bottom w:val="single" w:color="auto" w:sz="4" w:space="0"/>
              <w:right w:val="single" w:color="000000" w:sz="4" w:space="0"/>
            </w:tcBorders>
            <w:vAlign w:val="center"/>
          </w:tcPr>
          <w:p w14:paraId="6D0EDCB8">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13.5</w:t>
            </w:r>
          </w:p>
        </w:tc>
      </w:tr>
      <w:tr w14:paraId="3194A720">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23BED939">
            <w:pPr>
              <w:widowControl/>
              <w:jc w:val="both"/>
              <w:rPr>
                <w:rFonts w:ascii="Times New Roman" w:hAnsi="Times New Roman"/>
                <w:kern w:val="0"/>
                <w:szCs w:val="21"/>
              </w:rPr>
            </w:pPr>
            <w:r>
              <w:rPr>
                <w:rFonts w:hint="eastAsia" w:ascii="Times New Roman" w:hAnsi="Times New Roman"/>
                <w:kern w:val="0"/>
                <w:szCs w:val="21"/>
              </w:rPr>
              <w:t>机关事业单位垃圾分类工作经费</w:t>
            </w:r>
          </w:p>
        </w:tc>
        <w:tc>
          <w:tcPr>
            <w:tcW w:w="1938" w:type="dxa"/>
            <w:tcBorders>
              <w:top w:val="single" w:color="auto" w:sz="4" w:space="0"/>
              <w:left w:val="nil"/>
              <w:bottom w:val="single" w:color="auto" w:sz="4" w:space="0"/>
              <w:right w:val="single" w:color="000000" w:sz="4" w:space="0"/>
            </w:tcBorders>
            <w:vAlign w:val="center"/>
          </w:tcPr>
          <w:p w14:paraId="07E2121F">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12.01</w:t>
            </w:r>
          </w:p>
        </w:tc>
        <w:tc>
          <w:tcPr>
            <w:tcW w:w="2153" w:type="dxa"/>
            <w:tcBorders>
              <w:top w:val="single" w:color="auto" w:sz="4" w:space="0"/>
              <w:left w:val="nil"/>
              <w:bottom w:val="single" w:color="auto" w:sz="4" w:space="0"/>
              <w:right w:val="single" w:color="000000" w:sz="4" w:space="0"/>
            </w:tcBorders>
            <w:vAlign w:val="center"/>
          </w:tcPr>
          <w:p w14:paraId="56B94955">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13.5</w:t>
            </w:r>
          </w:p>
        </w:tc>
        <w:tc>
          <w:tcPr>
            <w:tcW w:w="1761" w:type="dxa"/>
            <w:tcBorders>
              <w:top w:val="single" w:color="auto" w:sz="4" w:space="0"/>
              <w:left w:val="nil"/>
              <w:bottom w:val="single" w:color="auto" w:sz="4" w:space="0"/>
              <w:right w:val="single" w:color="000000" w:sz="4" w:space="0"/>
            </w:tcBorders>
            <w:vAlign w:val="center"/>
          </w:tcPr>
          <w:p w14:paraId="67461B91">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13.5</w:t>
            </w:r>
          </w:p>
        </w:tc>
      </w:tr>
      <w:tr w14:paraId="51113D49">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0F45F20C">
            <w:pPr>
              <w:widowControl/>
              <w:jc w:val="left"/>
              <w:rPr>
                <w:rFonts w:ascii="Times New Roman" w:hAnsi="Times New Roman"/>
                <w:kern w:val="0"/>
                <w:szCs w:val="21"/>
              </w:rPr>
            </w:pPr>
            <w:r>
              <w:rPr>
                <w:rFonts w:hint="eastAsia" w:ascii="Times New Roman" w:hAnsi="Times New Roman"/>
                <w:kern w:val="0"/>
                <w:szCs w:val="21"/>
              </w:rPr>
              <w:t>市直党政机关不动产权证办理工作经费</w:t>
            </w:r>
          </w:p>
        </w:tc>
        <w:tc>
          <w:tcPr>
            <w:tcW w:w="1938" w:type="dxa"/>
            <w:tcBorders>
              <w:top w:val="single" w:color="auto" w:sz="4" w:space="0"/>
              <w:left w:val="nil"/>
              <w:bottom w:val="single" w:color="auto" w:sz="4" w:space="0"/>
              <w:right w:val="single" w:color="000000" w:sz="4" w:space="0"/>
            </w:tcBorders>
            <w:vAlign w:val="center"/>
          </w:tcPr>
          <w:p w14:paraId="1BBF1208">
            <w:pPr>
              <w:widowControl/>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2.26</w:t>
            </w:r>
          </w:p>
        </w:tc>
        <w:tc>
          <w:tcPr>
            <w:tcW w:w="2153" w:type="dxa"/>
            <w:tcBorders>
              <w:top w:val="single" w:color="auto" w:sz="4" w:space="0"/>
              <w:left w:val="nil"/>
              <w:bottom w:val="single" w:color="auto" w:sz="4" w:space="0"/>
              <w:right w:val="single" w:color="000000" w:sz="4" w:space="0"/>
            </w:tcBorders>
            <w:vAlign w:val="center"/>
          </w:tcPr>
          <w:p w14:paraId="160F1021">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9</w:t>
            </w:r>
          </w:p>
        </w:tc>
        <w:tc>
          <w:tcPr>
            <w:tcW w:w="1761" w:type="dxa"/>
            <w:tcBorders>
              <w:top w:val="single" w:color="auto" w:sz="4" w:space="0"/>
              <w:left w:val="nil"/>
              <w:bottom w:val="single" w:color="auto" w:sz="4" w:space="0"/>
              <w:right w:val="single" w:color="000000" w:sz="4" w:space="0"/>
            </w:tcBorders>
            <w:vAlign w:val="center"/>
          </w:tcPr>
          <w:p w14:paraId="4EA2EE2F">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9</w:t>
            </w:r>
          </w:p>
        </w:tc>
      </w:tr>
      <w:tr w14:paraId="274FBC2C">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56C375A7">
            <w:pPr>
              <w:widowControl/>
              <w:jc w:val="left"/>
              <w:rPr>
                <w:rFonts w:hint="default"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 xml:space="preserve">  2</w:t>
            </w:r>
            <w:r>
              <w:rPr>
                <w:rFonts w:hint="eastAsia" w:ascii="Times New Roman" w:hAnsi="Times New Roman"/>
                <w:kern w:val="0"/>
                <w:szCs w:val="21"/>
                <w:highlight w:val="none"/>
              </w:rPr>
              <w:t>、运行维护专项</w:t>
            </w:r>
            <w:r>
              <w:rPr>
                <w:rFonts w:ascii="Times New Roman" w:hAnsi="Times New Roman"/>
                <w:kern w:val="0"/>
                <w:szCs w:val="21"/>
                <w:highlight w:val="none"/>
              </w:rPr>
              <w:t>(</w:t>
            </w:r>
            <w:r>
              <w:rPr>
                <w:rFonts w:hint="eastAsia" w:ascii="Times New Roman" w:hAnsi="Times New Roman"/>
                <w:kern w:val="0"/>
                <w:szCs w:val="21"/>
                <w:highlight w:val="none"/>
              </w:rPr>
              <w:t>一个项目一行</w:t>
            </w:r>
            <w:r>
              <w:rPr>
                <w:rFonts w:ascii="Times New Roman" w:hAnsi="Times New Roman"/>
                <w:kern w:val="0"/>
                <w:szCs w:val="21"/>
                <w:highlight w:val="none"/>
              </w:rPr>
              <w:t>)</w:t>
            </w:r>
          </w:p>
        </w:tc>
        <w:tc>
          <w:tcPr>
            <w:tcW w:w="1938" w:type="dxa"/>
            <w:tcBorders>
              <w:top w:val="single" w:color="auto" w:sz="4" w:space="0"/>
              <w:left w:val="nil"/>
              <w:bottom w:val="single" w:color="auto" w:sz="4" w:space="0"/>
              <w:right w:val="single" w:color="000000" w:sz="4" w:space="0"/>
            </w:tcBorders>
            <w:vAlign w:val="center"/>
          </w:tcPr>
          <w:p w14:paraId="2F2120A8">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lang w:val="en-US" w:eastAsia="zh-CN"/>
              </w:rPr>
              <w:t>0</w:t>
            </w:r>
          </w:p>
        </w:tc>
        <w:tc>
          <w:tcPr>
            <w:tcW w:w="2153" w:type="dxa"/>
            <w:tcBorders>
              <w:top w:val="single" w:color="auto" w:sz="4" w:space="0"/>
              <w:left w:val="nil"/>
              <w:bottom w:val="single" w:color="auto" w:sz="4" w:space="0"/>
              <w:right w:val="single" w:color="000000" w:sz="4" w:space="0"/>
            </w:tcBorders>
            <w:vAlign w:val="center"/>
          </w:tcPr>
          <w:p w14:paraId="11B90078">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lang w:val="en-US" w:eastAsia="zh-CN"/>
              </w:rPr>
              <w:t>736.94</w:t>
            </w:r>
          </w:p>
        </w:tc>
        <w:tc>
          <w:tcPr>
            <w:tcW w:w="1761" w:type="dxa"/>
            <w:tcBorders>
              <w:top w:val="single" w:color="auto" w:sz="4" w:space="0"/>
              <w:left w:val="nil"/>
              <w:bottom w:val="single" w:color="auto" w:sz="4" w:space="0"/>
              <w:right w:val="single" w:color="000000" w:sz="4" w:space="0"/>
            </w:tcBorders>
            <w:vAlign w:val="center"/>
          </w:tcPr>
          <w:p w14:paraId="720266B8">
            <w:pPr>
              <w:widowControl/>
              <w:jc w:val="center"/>
              <w:rPr>
                <w:rFonts w:hint="default" w:ascii="Times New Roman" w:hAnsi="Times New Roman" w:eastAsia="宋体"/>
                <w:kern w:val="0"/>
                <w:szCs w:val="21"/>
                <w:highlight w:val="none"/>
                <w:lang w:val="en-US" w:eastAsia="zh-CN"/>
              </w:rPr>
            </w:pPr>
            <w:r>
              <w:rPr>
                <w:rFonts w:hint="eastAsia" w:ascii="Times New Roman" w:hAnsi="Times New Roman"/>
                <w:kern w:val="0"/>
                <w:szCs w:val="21"/>
                <w:highlight w:val="none"/>
                <w:lang w:val="en-US" w:eastAsia="zh-CN"/>
              </w:rPr>
              <w:t>736.94</w:t>
            </w:r>
          </w:p>
        </w:tc>
      </w:tr>
      <w:tr w14:paraId="5BF9D8C6">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3C2521B5">
            <w:pPr>
              <w:widowControl/>
              <w:jc w:val="both"/>
              <w:rPr>
                <w:rFonts w:hint="eastAsia" w:ascii="Times New Roman" w:hAnsi="Times New Roman" w:eastAsia="Times New Roman" w:cs="Times New Roman"/>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市纪监委办公楼防水修缮项目</w:t>
            </w:r>
          </w:p>
        </w:tc>
        <w:tc>
          <w:tcPr>
            <w:tcW w:w="1938" w:type="dxa"/>
            <w:tcBorders>
              <w:top w:val="single" w:color="auto" w:sz="4" w:space="0"/>
              <w:left w:val="nil"/>
              <w:bottom w:val="single" w:color="auto" w:sz="4" w:space="0"/>
              <w:right w:val="single" w:color="000000" w:sz="4" w:space="0"/>
            </w:tcBorders>
            <w:vAlign w:val="center"/>
          </w:tcPr>
          <w:p w14:paraId="32E5A798">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lang w:val="en-US" w:eastAsia="zh-CN"/>
              </w:rPr>
              <w:t>0</w:t>
            </w:r>
          </w:p>
        </w:tc>
        <w:tc>
          <w:tcPr>
            <w:tcW w:w="2153" w:type="dxa"/>
            <w:tcBorders>
              <w:top w:val="single" w:color="auto" w:sz="4" w:space="0"/>
              <w:left w:val="nil"/>
              <w:bottom w:val="single" w:color="auto" w:sz="4" w:space="0"/>
              <w:right w:val="single" w:color="000000" w:sz="4" w:space="0"/>
            </w:tcBorders>
            <w:vAlign w:val="center"/>
          </w:tcPr>
          <w:p w14:paraId="17A9B1CE">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lang w:val="en-US" w:eastAsia="zh-CN"/>
              </w:rPr>
              <w:t>80.38</w:t>
            </w:r>
          </w:p>
        </w:tc>
        <w:tc>
          <w:tcPr>
            <w:tcW w:w="1761" w:type="dxa"/>
            <w:tcBorders>
              <w:top w:val="single" w:color="auto" w:sz="4" w:space="0"/>
              <w:left w:val="nil"/>
              <w:bottom w:val="single" w:color="auto" w:sz="4" w:space="0"/>
              <w:right w:val="single" w:color="000000" w:sz="4" w:space="0"/>
            </w:tcBorders>
            <w:vAlign w:val="center"/>
          </w:tcPr>
          <w:p w14:paraId="2F31BADC">
            <w:pPr>
              <w:widowControl/>
              <w:jc w:val="center"/>
              <w:rPr>
                <w:rFonts w:hint="default" w:ascii="Times New Roman" w:hAnsi="Times New Roman" w:eastAsia="宋体"/>
                <w:kern w:val="0"/>
                <w:szCs w:val="21"/>
                <w:highlight w:val="none"/>
                <w:lang w:val="en-US" w:eastAsia="zh-CN"/>
              </w:rPr>
            </w:pPr>
            <w:r>
              <w:rPr>
                <w:rFonts w:hint="eastAsia" w:ascii="Times New Roman" w:hAnsi="Times New Roman"/>
                <w:kern w:val="0"/>
                <w:szCs w:val="21"/>
                <w:highlight w:val="none"/>
                <w:lang w:val="en-US" w:eastAsia="zh-CN"/>
              </w:rPr>
              <w:t>80.38</w:t>
            </w:r>
          </w:p>
        </w:tc>
      </w:tr>
      <w:tr w14:paraId="3D777A9E">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14471405">
            <w:pPr>
              <w:widowControl/>
              <w:jc w:val="left"/>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市纪委5号办公楼会议室及大厅维修项目</w:t>
            </w:r>
          </w:p>
        </w:tc>
        <w:tc>
          <w:tcPr>
            <w:tcW w:w="1938" w:type="dxa"/>
            <w:tcBorders>
              <w:top w:val="single" w:color="auto" w:sz="4" w:space="0"/>
              <w:left w:val="nil"/>
              <w:bottom w:val="single" w:color="auto" w:sz="4" w:space="0"/>
              <w:right w:val="single" w:color="000000" w:sz="4" w:space="0"/>
            </w:tcBorders>
            <w:vAlign w:val="center"/>
          </w:tcPr>
          <w:p w14:paraId="2CDF0F4C">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cs="Times New Roman"/>
                <w:kern w:val="0"/>
                <w:sz w:val="21"/>
                <w:szCs w:val="21"/>
                <w:highlight w:val="none"/>
                <w:lang w:val="en-US" w:eastAsia="zh-CN" w:bidi="ar-SA"/>
              </w:rPr>
              <w:t>0</w:t>
            </w:r>
          </w:p>
        </w:tc>
        <w:tc>
          <w:tcPr>
            <w:tcW w:w="2153" w:type="dxa"/>
            <w:tcBorders>
              <w:top w:val="single" w:color="auto" w:sz="4" w:space="0"/>
              <w:left w:val="nil"/>
              <w:bottom w:val="single" w:color="auto" w:sz="4" w:space="0"/>
              <w:right w:val="single" w:color="000000" w:sz="4" w:space="0"/>
            </w:tcBorders>
            <w:vAlign w:val="center"/>
          </w:tcPr>
          <w:p w14:paraId="66F369D3">
            <w:pPr>
              <w:widowControl/>
              <w:jc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kern w:val="0"/>
                <w:szCs w:val="21"/>
                <w:highlight w:val="none"/>
                <w:lang w:val="en-US" w:eastAsia="zh-CN"/>
              </w:rPr>
              <w:t>31.6</w:t>
            </w:r>
          </w:p>
        </w:tc>
        <w:tc>
          <w:tcPr>
            <w:tcW w:w="1761" w:type="dxa"/>
            <w:tcBorders>
              <w:top w:val="single" w:color="auto" w:sz="4" w:space="0"/>
              <w:left w:val="nil"/>
              <w:bottom w:val="single" w:color="auto" w:sz="4" w:space="0"/>
              <w:right w:val="single" w:color="000000" w:sz="4" w:space="0"/>
            </w:tcBorders>
            <w:vAlign w:val="center"/>
          </w:tcPr>
          <w:p w14:paraId="62F94F23">
            <w:pPr>
              <w:widowControl/>
              <w:jc w:val="center"/>
              <w:rPr>
                <w:rFonts w:hint="default" w:ascii="Times New Roman" w:hAnsi="Times New Roman" w:eastAsia="宋体"/>
                <w:kern w:val="0"/>
                <w:szCs w:val="21"/>
                <w:highlight w:val="none"/>
                <w:lang w:val="en-US" w:eastAsia="zh-CN"/>
              </w:rPr>
            </w:pPr>
            <w:r>
              <w:rPr>
                <w:rFonts w:hint="eastAsia" w:ascii="Times New Roman" w:hAnsi="Times New Roman"/>
                <w:kern w:val="0"/>
                <w:szCs w:val="21"/>
                <w:highlight w:val="none"/>
                <w:lang w:val="en-US" w:eastAsia="zh-CN"/>
              </w:rPr>
              <w:t>31.6</w:t>
            </w:r>
          </w:p>
        </w:tc>
      </w:tr>
      <w:tr w14:paraId="5D04BA9F">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13F7FC28">
            <w:pPr>
              <w:widowControl/>
              <w:jc w:val="left"/>
              <w:rPr>
                <w:rFonts w:hint="eastAsia" w:ascii="Times New Roman" w:hAnsi="Times New Roman"/>
                <w:kern w:val="0"/>
                <w:szCs w:val="21"/>
                <w:highlight w:val="none"/>
              </w:rPr>
            </w:pPr>
            <w:r>
              <w:rPr>
                <w:rFonts w:hint="eastAsia" w:ascii="Times New Roman" w:hAnsi="Times New Roman"/>
                <w:kern w:val="0"/>
                <w:szCs w:val="21"/>
                <w:highlight w:val="none"/>
                <w:lang w:eastAsia="zh-CN"/>
              </w:rPr>
              <w:t>市</w:t>
            </w:r>
            <w:r>
              <w:rPr>
                <w:rFonts w:hint="eastAsia" w:ascii="Times New Roman" w:hAnsi="Times New Roman"/>
                <w:kern w:val="0"/>
                <w:szCs w:val="21"/>
                <w:highlight w:val="none"/>
              </w:rPr>
              <w:t>政协办公楼维修项目</w:t>
            </w:r>
          </w:p>
        </w:tc>
        <w:tc>
          <w:tcPr>
            <w:tcW w:w="1938" w:type="dxa"/>
            <w:tcBorders>
              <w:top w:val="single" w:color="auto" w:sz="4" w:space="0"/>
              <w:left w:val="nil"/>
              <w:bottom w:val="single" w:color="auto" w:sz="4" w:space="0"/>
              <w:right w:val="single" w:color="000000" w:sz="4" w:space="0"/>
            </w:tcBorders>
            <w:vAlign w:val="center"/>
          </w:tcPr>
          <w:p w14:paraId="22C34782">
            <w:pPr>
              <w:widowControl/>
              <w:jc w:val="center"/>
              <w:rPr>
                <w:rFonts w:hint="default" w:ascii="Times New Roman" w:hAnsi="Times New Roman"/>
                <w:kern w:val="0"/>
                <w:szCs w:val="21"/>
                <w:highlight w:val="none"/>
                <w:lang w:val="en-US" w:eastAsia="zh-CN"/>
              </w:rPr>
            </w:pPr>
            <w:r>
              <w:rPr>
                <w:rFonts w:hint="eastAsia" w:ascii="Times New Roman" w:hAnsi="Times New Roman"/>
                <w:kern w:val="0"/>
                <w:szCs w:val="21"/>
                <w:highlight w:val="none"/>
                <w:lang w:val="en-US" w:eastAsia="zh-CN"/>
              </w:rPr>
              <w:t>0</w:t>
            </w:r>
          </w:p>
        </w:tc>
        <w:tc>
          <w:tcPr>
            <w:tcW w:w="2153" w:type="dxa"/>
            <w:tcBorders>
              <w:top w:val="single" w:color="auto" w:sz="4" w:space="0"/>
              <w:left w:val="nil"/>
              <w:bottom w:val="single" w:color="auto" w:sz="4" w:space="0"/>
              <w:right w:val="single" w:color="000000" w:sz="4" w:space="0"/>
            </w:tcBorders>
            <w:vAlign w:val="center"/>
          </w:tcPr>
          <w:p w14:paraId="0C3DC9E4">
            <w:pPr>
              <w:widowControl/>
              <w:jc w:val="center"/>
              <w:rPr>
                <w:rFonts w:hint="default" w:ascii="Times New Roman" w:hAnsi="Times New Roman" w:cs="Times New Roman"/>
                <w:kern w:val="0"/>
                <w:sz w:val="21"/>
                <w:szCs w:val="21"/>
                <w:highlight w:val="none"/>
                <w:lang w:val="en-US" w:eastAsia="zh-CN" w:bidi="ar-SA"/>
              </w:rPr>
            </w:pPr>
            <w:r>
              <w:rPr>
                <w:rFonts w:hint="eastAsia" w:ascii="Times New Roman" w:hAnsi="Times New Roman"/>
                <w:kern w:val="0"/>
                <w:szCs w:val="21"/>
                <w:highlight w:val="none"/>
                <w:lang w:val="en-US" w:eastAsia="zh-CN"/>
              </w:rPr>
              <w:t>222.82</w:t>
            </w:r>
          </w:p>
        </w:tc>
        <w:tc>
          <w:tcPr>
            <w:tcW w:w="1761" w:type="dxa"/>
            <w:tcBorders>
              <w:top w:val="single" w:color="auto" w:sz="4" w:space="0"/>
              <w:left w:val="nil"/>
              <w:bottom w:val="single" w:color="auto" w:sz="4" w:space="0"/>
              <w:right w:val="single" w:color="000000" w:sz="4" w:space="0"/>
            </w:tcBorders>
            <w:vAlign w:val="center"/>
          </w:tcPr>
          <w:p w14:paraId="38F25C70">
            <w:pPr>
              <w:widowControl/>
              <w:jc w:val="center"/>
              <w:rPr>
                <w:rFonts w:hint="default" w:ascii="Times New Roman" w:hAnsi="Times New Roman" w:eastAsia="宋体"/>
                <w:kern w:val="0"/>
                <w:szCs w:val="21"/>
                <w:highlight w:val="none"/>
                <w:lang w:val="en-US" w:eastAsia="zh-CN"/>
              </w:rPr>
            </w:pPr>
            <w:r>
              <w:rPr>
                <w:rFonts w:hint="eastAsia" w:ascii="Times New Roman" w:hAnsi="Times New Roman"/>
                <w:kern w:val="0"/>
                <w:szCs w:val="21"/>
                <w:highlight w:val="none"/>
                <w:lang w:val="en-US" w:eastAsia="zh-CN"/>
              </w:rPr>
              <w:t>222.82</w:t>
            </w:r>
          </w:p>
        </w:tc>
      </w:tr>
      <w:tr w14:paraId="4BE2CA7D">
        <w:tblPrEx>
          <w:tblCellMar>
            <w:top w:w="0" w:type="dxa"/>
            <w:left w:w="108" w:type="dxa"/>
            <w:bottom w:w="0" w:type="dxa"/>
            <w:right w:w="108" w:type="dxa"/>
          </w:tblCellMar>
        </w:tblPrEx>
        <w:trPr>
          <w:trHeight w:val="340" w:hRule="atLeast"/>
          <w:jc w:val="center"/>
        </w:trPr>
        <w:tc>
          <w:tcPr>
            <w:tcW w:w="3245" w:type="dxa"/>
            <w:tcBorders>
              <w:top w:val="nil"/>
              <w:left w:val="single" w:color="auto" w:sz="4" w:space="0"/>
              <w:bottom w:val="single" w:color="auto" w:sz="4" w:space="0"/>
              <w:right w:val="single" w:color="auto" w:sz="4" w:space="0"/>
            </w:tcBorders>
            <w:vAlign w:val="center"/>
          </w:tcPr>
          <w:p w14:paraId="5BE3B339">
            <w:pPr>
              <w:widowControl/>
              <w:jc w:val="left"/>
              <w:rPr>
                <w:rFonts w:hint="eastAsia" w:ascii="Times New Roman" w:hAnsi="Times New Roman"/>
                <w:kern w:val="0"/>
                <w:szCs w:val="21"/>
                <w:highlight w:val="none"/>
              </w:rPr>
            </w:pPr>
            <w:r>
              <w:rPr>
                <w:rFonts w:hint="eastAsia" w:ascii="Times New Roman" w:hAnsi="Times New Roman"/>
                <w:kern w:val="0"/>
                <w:szCs w:val="21"/>
                <w:highlight w:val="none"/>
              </w:rPr>
              <w:t>市委大院维修工程项目（二期）</w:t>
            </w:r>
          </w:p>
        </w:tc>
        <w:tc>
          <w:tcPr>
            <w:tcW w:w="1938" w:type="dxa"/>
            <w:tcBorders>
              <w:top w:val="single" w:color="auto" w:sz="4" w:space="0"/>
              <w:left w:val="nil"/>
              <w:bottom w:val="single" w:color="auto" w:sz="4" w:space="0"/>
              <w:right w:val="single" w:color="000000" w:sz="4" w:space="0"/>
            </w:tcBorders>
            <w:vAlign w:val="center"/>
          </w:tcPr>
          <w:p w14:paraId="4E8155E1">
            <w:pPr>
              <w:widowControl/>
              <w:jc w:val="center"/>
              <w:rPr>
                <w:rFonts w:hint="default" w:ascii="Times New Roman" w:hAnsi="Times New Roman"/>
                <w:kern w:val="0"/>
                <w:szCs w:val="21"/>
                <w:highlight w:val="none"/>
                <w:lang w:val="en-US" w:eastAsia="zh-CN"/>
              </w:rPr>
            </w:pPr>
            <w:r>
              <w:rPr>
                <w:rFonts w:hint="eastAsia" w:ascii="Times New Roman" w:hAnsi="Times New Roman"/>
                <w:kern w:val="0"/>
                <w:szCs w:val="21"/>
                <w:highlight w:val="none"/>
                <w:lang w:val="en-US" w:eastAsia="zh-CN"/>
              </w:rPr>
              <w:t>0</w:t>
            </w:r>
          </w:p>
        </w:tc>
        <w:tc>
          <w:tcPr>
            <w:tcW w:w="2153" w:type="dxa"/>
            <w:tcBorders>
              <w:top w:val="single" w:color="auto" w:sz="4" w:space="0"/>
              <w:left w:val="nil"/>
              <w:bottom w:val="single" w:color="auto" w:sz="4" w:space="0"/>
              <w:right w:val="single" w:color="000000" w:sz="4" w:space="0"/>
            </w:tcBorders>
            <w:vAlign w:val="center"/>
          </w:tcPr>
          <w:p w14:paraId="190FA2FA">
            <w:pPr>
              <w:widowControl/>
              <w:jc w:val="center"/>
              <w:rPr>
                <w:rFonts w:hint="default" w:ascii="Times New Roman" w:hAnsi="Times New Roman" w:cs="Times New Roman"/>
                <w:kern w:val="0"/>
                <w:sz w:val="21"/>
                <w:szCs w:val="21"/>
                <w:highlight w:val="none"/>
                <w:lang w:val="en-US" w:eastAsia="zh-CN" w:bidi="ar-SA"/>
              </w:rPr>
            </w:pPr>
            <w:r>
              <w:rPr>
                <w:rFonts w:hint="eastAsia" w:ascii="Times New Roman" w:hAnsi="Times New Roman"/>
                <w:kern w:val="0"/>
                <w:szCs w:val="21"/>
                <w:highlight w:val="none"/>
                <w:lang w:val="en-US" w:eastAsia="zh-CN"/>
              </w:rPr>
              <w:t>402.14</w:t>
            </w:r>
          </w:p>
        </w:tc>
        <w:tc>
          <w:tcPr>
            <w:tcW w:w="1761" w:type="dxa"/>
            <w:tcBorders>
              <w:top w:val="single" w:color="auto" w:sz="4" w:space="0"/>
              <w:left w:val="nil"/>
              <w:bottom w:val="single" w:color="auto" w:sz="4" w:space="0"/>
              <w:right w:val="single" w:color="000000" w:sz="4" w:space="0"/>
            </w:tcBorders>
            <w:vAlign w:val="center"/>
          </w:tcPr>
          <w:p w14:paraId="2A8D8313">
            <w:pPr>
              <w:widowControl/>
              <w:jc w:val="center"/>
              <w:rPr>
                <w:rFonts w:hint="default" w:ascii="Times New Roman" w:hAnsi="Times New Roman" w:eastAsia="宋体"/>
                <w:kern w:val="0"/>
                <w:szCs w:val="21"/>
                <w:highlight w:val="none"/>
                <w:lang w:val="en-US" w:eastAsia="zh-CN"/>
              </w:rPr>
            </w:pPr>
            <w:r>
              <w:rPr>
                <w:rFonts w:hint="eastAsia" w:ascii="Times New Roman" w:hAnsi="Times New Roman"/>
                <w:kern w:val="0"/>
                <w:szCs w:val="21"/>
                <w:highlight w:val="none"/>
                <w:lang w:val="en-US" w:eastAsia="zh-CN"/>
              </w:rPr>
              <w:t>402.14</w:t>
            </w:r>
          </w:p>
        </w:tc>
      </w:tr>
      <w:tr w14:paraId="0E6222D5">
        <w:tblPrEx>
          <w:tblCellMar>
            <w:top w:w="0" w:type="dxa"/>
            <w:left w:w="108" w:type="dxa"/>
            <w:bottom w:w="0" w:type="dxa"/>
            <w:right w:w="108" w:type="dxa"/>
          </w:tblCellMar>
        </w:tblPrEx>
        <w:trPr>
          <w:trHeight w:val="397" w:hRule="atLeast"/>
          <w:jc w:val="center"/>
        </w:trPr>
        <w:tc>
          <w:tcPr>
            <w:tcW w:w="3245" w:type="dxa"/>
            <w:tcBorders>
              <w:top w:val="nil"/>
              <w:left w:val="single" w:color="auto" w:sz="4" w:space="0"/>
              <w:bottom w:val="single" w:color="auto" w:sz="4" w:space="0"/>
              <w:right w:val="single" w:color="auto" w:sz="4" w:space="0"/>
            </w:tcBorders>
            <w:vAlign w:val="center"/>
          </w:tcPr>
          <w:p w14:paraId="21E71727">
            <w:pPr>
              <w:widowControl/>
              <w:jc w:val="both"/>
              <w:rPr>
                <w:rFonts w:ascii="Times New Roman" w:hAnsi="Times New Roman" w:eastAsia="Times New Roman"/>
                <w:kern w:val="0"/>
                <w:szCs w:val="21"/>
              </w:rPr>
            </w:pPr>
            <w:r>
              <w:rPr>
                <w:rFonts w:ascii="Times New Roman" w:hAnsi="Times New Roman"/>
                <w:kern w:val="0"/>
                <w:szCs w:val="21"/>
              </w:rPr>
              <w:t xml:space="preserve"> </w:t>
            </w:r>
            <w:r>
              <w:rPr>
                <w:rFonts w:hint="eastAsia" w:ascii="Times New Roman" w:hAnsi="Times New Roman"/>
                <w:kern w:val="0"/>
                <w:szCs w:val="21"/>
                <w:lang w:val="en-US" w:eastAsia="zh-CN"/>
              </w:rPr>
              <w:t>3</w:t>
            </w:r>
            <w:r>
              <w:rPr>
                <w:rFonts w:ascii="Times New Roman" w:hAnsi="Times New Roman"/>
                <w:kern w:val="0"/>
                <w:szCs w:val="21"/>
              </w:rPr>
              <w:t>、</w:t>
            </w:r>
            <w:r>
              <w:rPr>
                <w:rFonts w:hint="eastAsia" w:ascii="Times New Roman" w:hAnsi="Times New Roman"/>
                <w:kern w:val="0"/>
                <w:szCs w:val="21"/>
                <w:lang w:val="en-US" w:eastAsia="zh-CN"/>
              </w:rPr>
              <w:t>市级专项资金</w:t>
            </w:r>
            <w:r>
              <w:rPr>
                <w:rFonts w:ascii="Times New Roman" w:hAnsi="Times New Roman"/>
                <w:kern w:val="0"/>
                <w:szCs w:val="21"/>
              </w:rPr>
              <w:t>(一个项目一行)</w:t>
            </w:r>
          </w:p>
        </w:tc>
        <w:tc>
          <w:tcPr>
            <w:tcW w:w="1938" w:type="dxa"/>
            <w:tcBorders>
              <w:top w:val="single" w:color="auto" w:sz="4" w:space="0"/>
              <w:left w:val="nil"/>
              <w:bottom w:val="single" w:color="auto" w:sz="4" w:space="0"/>
              <w:right w:val="single" w:color="000000" w:sz="4" w:space="0"/>
            </w:tcBorders>
            <w:vAlign w:val="center"/>
          </w:tcPr>
          <w:p w14:paraId="01217498">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ascii="Times New Roman" w:hAnsi="Times New Roman"/>
                <w:kern w:val="0"/>
                <w:szCs w:val="21"/>
              </w:rPr>
              <w:t>　</w:t>
            </w:r>
          </w:p>
        </w:tc>
        <w:tc>
          <w:tcPr>
            <w:tcW w:w="2153" w:type="dxa"/>
            <w:tcBorders>
              <w:top w:val="single" w:color="auto" w:sz="4" w:space="0"/>
              <w:left w:val="nil"/>
              <w:bottom w:val="single" w:color="auto" w:sz="4" w:space="0"/>
              <w:right w:val="single" w:color="000000" w:sz="4" w:space="0"/>
            </w:tcBorders>
            <w:vAlign w:val="center"/>
          </w:tcPr>
          <w:p w14:paraId="13E6A9CB">
            <w:pPr>
              <w:widowControl/>
              <w:jc w:val="center"/>
              <w:rPr>
                <w:rFonts w:hint="default" w:ascii="Times New Roman" w:hAnsi="Times New Roman" w:eastAsia="Times New Roman" w:cs="Times New Roman"/>
                <w:kern w:val="0"/>
                <w:sz w:val="21"/>
                <w:szCs w:val="21"/>
                <w:lang w:val="en-US" w:eastAsia="zh-CN" w:bidi="ar-SA"/>
              </w:rPr>
            </w:pPr>
            <w:r>
              <w:rPr>
                <w:rFonts w:hint="eastAsia" w:ascii="Times New Roman" w:hAnsi="Times New Roman" w:eastAsia="Times New Roman" w:cs="Times New Roman"/>
                <w:kern w:val="0"/>
                <w:sz w:val="21"/>
                <w:szCs w:val="21"/>
                <w:lang w:val="en-US" w:eastAsia="zh-CN" w:bidi="ar-SA"/>
              </w:rPr>
              <w:t>0</w:t>
            </w:r>
          </w:p>
        </w:tc>
        <w:tc>
          <w:tcPr>
            <w:tcW w:w="1761" w:type="dxa"/>
            <w:tcBorders>
              <w:top w:val="single" w:color="auto" w:sz="4" w:space="0"/>
              <w:left w:val="nil"/>
              <w:bottom w:val="single" w:color="auto" w:sz="4" w:space="0"/>
              <w:right w:val="single" w:color="000000" w:sz="4" w:space="0"/>
            </w:tcBorders>
            <w:vAlign w:val="center"/>
          </w:tcPr>
          <w:p w14:paraId="3396EFB3">
            <w:pPr>
              <w:widowControl/>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0</w:t>
            </w:r>
          </w:p>
        </w:tc>
      </w:tr>
      <w:tr w14:paraId="7EE44B7F">
        <w:tblPrEx>
          <w:tblCellMar>
            <w:top w:w="0" w:type="dxa"/>
            <w:left w:w="108" w:type="dxa"/>
            <w:bottom w:w="0" w:type="dxa"/>
            <w:right w:w="108" w:type="dxa"/>
          </w:tblCellMar>
        </w:tblPrEx>
        <w:trPr>
          <w:trHeight w:val="397" w:hRule="atLeast"/>
          <w:jc w:val="center"/>
        </w:trPr>
        <w:tc>
          <w:tcPr>
            <w:tcW w:w="3245" w:type="dxa"/>
            <w:tcBorders>
              <w:top w:val="nil"/>
              <w:left w:val="single" w:color="auto" w:sz="4" w:space="0"/>
              <w:bottom w:val="single" w:color="auto" w:sz="4" w:space="0"/>
              <w:right w:val="single" w:color="auto" w:sz="4" w:space="0"/>
            </w:tcBorders>
            <w:vAlign w:val="center"/>
          </w:tcPr>
          <w:p w14:paraId="177ACECA">
            <w:pPr>
              <w:widowControl/>
              <w:jc w:val="left"/>
              <w:rPr>
                <w:rFonts w:ascii="Times New Roman" w:hAnsi="Times New Roman" w:eastAsia="Times New Roman"/>
                <w:kern w:val="0"/>
                <w:szCs w:val="21"/>
              </w:rPr>
            </w:pPr>
            <w:r>
              <w:rPr>
                <w:rFonts w:ascii="Times New Roman" w:hAnsi="Times New Roman"/>
                <w:kern w:val="0"/>
                <w:szCs w:val="21"/>
              </w:rPr>
              <w:t>政府采购金额</w:t>
            </w:r>
          </w:p>
        </w:tc>
        <w:tc>
          <w:tcPr>
            <w:tcW w:w="1938" w:type="dxa"/>
            <w:tcBorders>
              <w:top w:val="single" w:color="auto" w:sz="4" w:space="0"/>
              <w:left w:val="nil"/>
              <w:bottom w:val="single" w:color="auto" w:sz="4" w:space="0"/>
              <w:right w:val="single" w:color="000000" w:sz="4" w:space="0"/>
            </w:tcBorders>
            <w:vAlign w:val="center"/>
          </w:tcPr>
          <w:p w14:paraId="42D59D9D">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2153" w:type="dxa"/>
            <w:tcBorders>
              <w:top w:val="single" w:color="auto" w:sz="4" w:space="0"/>
              <w:left w:val="nil"/>
              <w:bottom w:val="single" w:color="auto" w:sz="4" w:space="0"/>
              <w:right w:val="single" w:color="000000" w:sz="4" w:space="0"/>
            </w:tcBorders>
            <w:vAlign w:val="center"/>
          </w:tcPr>
          <w:p w14:paraId="4F7332A6">
            <w:pPr>
              <w:widowControl/>
              <w:jc w:val="center"/>
              <w:rPr>
                <w:rFonts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0</w:t>
            </w:r>
            <w:r>
              <w:rPr>
                <w:rFonts w:ascii="Times New Roman" w:hAnsi="Times New Roman"/>
                <w:kern w:val="0"/>
                <w:szCs w:val="21"/>
              </w:rPr>
              <w:t>　</w:t>
            </w:r>
          </w:p>
        </w:tc>
        <w:tc>
          <w:tcPr>
            <w:tcW w:w="1761" w:type="dxa"/>
            <w:tcBorders>
              <w:top w:val="single" w:color="auto" w:sz="4" w:space="0"/>
              <w:left w:val="nil"/>
              <w:bottom w:val="single" w:color="auto" w:sz="4" w:space="0"/>
              <w:right w:val="single" w:color="000000" w:sz="4" w:space="0"/>
            </w:tcBorders>
            <w:vAlign w:val="center"/>
          </w:tcPr>
          <w:p w14:paraId="447D9980">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ascii="Times New Roman" w:hAnsi="Times New Roman"/>
                <w:kern w:val="0"/>
                <w:szCs w:val="21"/>
              </w:rPr>
              <w:t>　</w:t>
            </w:r>
          </w:p>
        </w:tc>
      </w:tr>
      <w:tr w14:paraId="7C785B10">
        <w:tblPrEx>
          <w:tblCellMar>
            <w:top w:w="0" w:type="dxa"/>
            <w:left w:w="108" w:type="dxa"/>
            <w:bottom w:w="0" w:type="dxa"/>
            <w:right w:w="108" w:type="dxa"/>
          </w:tblCellMar>
        </w:tblPrEx>
        <w:trPr>
          <w:trHeight w:val="756" w:hRule="atLeast"/>
          <w:jc w:val="center"/>
        </w:trPr>
        <w:tc>
          <w:tcPr>
            <w:tcW w:w="3245" w:type="dxa"/>
            <w:tcBorders>
              <w:top w:val="nil"/>
              <w:left w:val="single" w:color="auto" w:sz="4" w:space="0"/>
              <w:bottom w:val="single" w:color="auto" w:sz="4" w:space="0"/>
              <w:right w:val="single" w:color="auto" w:sz="4" w:space="0"/>
            </w:tcBorders>
            <w:vAlign w:val="center"/>
          </w:tcPr>
          <w:p w14:paraId="288979DB">
            <w:pPr>
              <w:widowControl/>
              <w:jc w:val="center"/>
              <w:rPr>
                <w:rFonts w:ascii="Times New Roman" w:hAnsi="Times New Roman" w:eastAsia="Times New Roman"/>
                <w:kern w:val="0"/>
                <w:szCs w:val="21"/>
              </w:rPr>
            </w:pPr>
            <w:r>
              <w:rPr>
                <w:rFonts w:ascii="Times New Roman" w:hAnsi="Times New Roman"/>
                <w:kern w:val="0"/>
                <w:szCs w:val="21"/>
              </w:rPr>
              <w:t>厉行节约保障措施</w:t>
            </w:r>
          </w:p>
        </w:tc>
        <w:tc>
          <w:tcPr>
            <w:tcW w:w="5852" w:type="dxa"/>
            <w:gridSpan w:val="3"/>
            <w:tcBorders>
              <w:top w:val="single" w:color="auto" w:sz="4" w:space="0"/>
              <w:left w:val="nil"/>
              <w:bottom w:val="single" w:color="auto" w:sz="4" w:space="0"/>
              <w:right w:val="single" w:color="000000" w:sz="4" w:space="0"/>
            </w:tcBorders>
            <w:vAlign w:val="center"/>
          </w:tcPr>
          <w:p w14:paraId="389BCF0F">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我局通过创建节约型机关，节约每一滴水、每一度电、每一张纸，大幅减少办公开支。</w:t>
            </w:r>
          </w:p>
        </w:tc>
      </w:tr>
    </w:tbl>
    <w:p w14:paraId="5A6607F1">
      <w:pPr>
        <w:rPr>
          <w:rFonts w:ascii="Times New Roman" w:hAnsi="Times New Roman"/>
          <w:kern w:val="0"/>
          <w:sz w:val="22"/>
        </w:rPr>
      </w:pPr>
    </w:p>
    <w:p w14:paraId="74FB7272">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val="en-US" w:eastAsia="zh-CN"/>
        </w:rPr>
        <w:t xml:space="preserve">曹雨 </w:t>
      </w:r>
      <w:r>
        <w:rPr>
          <w:rFonts w:ascii="Times New Roman" w:hAnsi="Times New Roman" w:eastAsia="仿宋_GB2312"/>
          <w:sz w:val="24"/>
        </w:rPr>
        <w:t>填报日期：</w:t>
      </w:r>
      <w:r>
        <w:rPr>
          <w:rFonts w:hint="eastAsia" w:ascii="Times New Roman" w:hAnsi="Times New Roman" w:eastAsia="仿宋_GB2312"/>
          <w:sz w:val="24"/>
          <w:lang w:val="en-US" w:eastAsia="zh-CN"/>
        </w:rPr>
        <w:t xml:space="preserve">2022.4.6 </w:t>
      </w:r>
      <w:r>
        <w:rPr>
          <w:rFonts w:ascii="Times New Roman" w:hAnsi="Times New Roman" w:eastAsia="仿宋_GB2312"/>
          <w:sz w:val="24"/>
        </w:rPr>
        <w:t>联系电话：</w:t>
      </w:r>
      <w:r>
        <w:rPr>
          <w:rFonts w:hint="eastAsia" w:ascii="Times New Roman" w:hAnsi="Times New Roman" w:eastAsia="仿宋_GB2312"/>
          <w:sz w:val="24"/>
          <w:lang w:val="en-US" w:eastAsia="zh-CN"/>
        </w:rPr>
        <w:t>13975480164</w:t>
      </w:r>
      <w:r>
        <w:rPr>
          <w:rFonts w:ascii="Times New Roman" w:hAnsi="Times New Roman" w:eastAsia="仿宋_GB2312"/>
          <w:sz w:val="24"/>
        </w:rPr>
        <w:t xml:space="preserve"> 单位负责人签字：</w:t>
      </w:r>
    </w:p>
    <w:p w14:paraId="1E32E2FD">
      <w:pPr>
        <w:rPr>
          <w:rFonts w:ascii="Times New Roman" w:hAnsi="Times New Roman"/>
          <w:kern w:val="0"/>
          <w:sz w:val="22"/>
        </w:rPr>
      </w:pPr>
    </w:p>
    <w:tbl>
      <w:tblPr>
        <w:tblStyle w:val="11"/>
        <w:tblW w:w="9681" w:type="dxa"/>
        <w:jc w:val="center"/>
        <w:tblLayout w:type="fixed"/>
        <w:tblCellMar>
          <w:top w:w="0" w:type="dxa"/>
          <w:left w:w="108" w:type="dxa"/>
          <w:bottom w:w="0" w:type="dxa"/>
          <w:right w:w="108" w:type="dxa"/>
        </w:tblCellMar>
      </w:tblPr>
      <w:tblGrid>
        <w:gridCol w:w="1309"/>
        <w:gridCol w:w="980"/>
        <w:gridCol w:w="1065"/>
        <w:gridCol w:w="1079"/>
        <w:gridCol w:w="1379"/>
        <w:gridCol w:w="980"/>
        <w:gridCol w:w="215"/>
        <w:gridCol w:w="706"/>
        <w:gridCol w:w="734"/>
        <w:gridCol w:w="289"/>
        <w:gridCol w:w="945"/>
      </w:tblGrid>
      <w:tr w14:paraId="2F8B8000">
        <w:tblPrEx>
          <w:tblCellMar>
            <w:top w:w="0" w:type="dxa"/>
            <w:left w:w="108" w:type="dxa"/>
            <w:bottom w:w="0" w:type="dxa"/>
            <w:right w:w="108" w:type="dxa"/>
          </w:tblCellMar>
        </w:tblPrEx>
        <w:trPr>
          <w:trHeight w:val="90" w:hRule="atLeast"/>
          <w:jc w:val="center"/>
        </w:trPr>
        <w:tc>
          <w:tcPr>
            <w:tcW w:w="9681" w:type="dxa"/>
            <w:gridSpan w:val="11"/>
            <w:tcBorders>
              <w:top w:val="nil"/>
              <w:left w:val="nil"/>
              <w:bottom w:val="nil"/>
              <w:right w:val="nil"/>
            </w:tcBorders>
            <w:shd w:val="clear" w:color="auto" w:fill="auto"/>
            <w:noWrap/>
            <w:vAlign w:val="center"/>
          </w:tcPr>
          <w:p w14:paraId="4B178328">
            <w:pPr>
              <w:ind w:right="640"/>
              <w:jc w:val="both"/>
              <w:rPr>
                <w:rFonts w:hint="eastAsia" w:ascii="方正小标宋简体" w:hAnsi="方正小标宋简体" w:eastAsia="方正小标宋简体" w:cs="方正小标宋简体"/>
                <w:color w:val="000000"/>
                <w:kern w:val="0"/>
                <w:sz w:val="36"/>
                <w:szCs w:val="36"/>
              </w:rPr>
            </w:pPr>
            <w:r>
              <w:rPr>
                <w:rFonts w:hint="eastAsia" w:ascii="宋体" w:hAnsi="宋体" w:eastAsia="宋体" w:cs="宋体"/>
                <w:sz w:val="24"/>
                <w:szCs w:val="24"/>
                <w:lang w:val="en-US" w:eastAsia="zh-CN"/>
              </w:rPr>
              <w:t>附件</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p>
          <w:p w14:paraId="40424EE3">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4E1B8D9D">
        <w:tblPrEx>
          <w:tblCellMar>
            <w:top w:w="0" w:type="dxa"/>
            <w:left w:w="108" w:type="dxa"/>
            <w:bottom w:w="0" w:type="dxa"/>
            <w:right w:w="108" w:type="dxa"/>
          </w:tblCellMar>
        </w:tblPrEx>
        <w:trPr>
          <w:trHeight w:val="90" w:hRule="atLeast"/>
          <w:jc w:val="center"/>
        </w:trPr>
        <w:tc>
          <w:tcPr>
            <w:tcW w:w="9681" w:type="dxa"/>
            <w:gridSpan w:val="11"/>
            <w:tcBorders>
              <w:top w:val="nil"/>
              <w:left w:val="nil"/>
              <w:bottom w:val="single" w:color="auto" w:sz="4" w:space="0"/>
              <w:right w:val="nil"/>
            </w:tcBorders>
            <w:shd w:val="clear" w:color="auto" w:fill="auto"/>
            <w:noWrap/>
            <w:vAlign w:val="center"/>
          </w:tcPr>
          <w:p w14:paraId="1873001A">
            <w:pPr>
              <w:widowControl/>
              <w:rPr>
                <w:rFonts w:hint="default" w:ascii="Times New Roman" w:hAnsi="Times New Roman" w:eastAsia="宋体"/>
                <w:color w:val="000000"/>
                <w:kern w:val="0"/>
                <w:sz w:val="22"/>
                <w:lang w:val="en-US" w:eastAsia="zh-CN"/>
              </w:rPr>
            </w:pPr>
            <w:r>
              <w:rPr>
                <w:rFonts w:ascii="Times New Roman" w:hAnsi="Times New Roman"/>
                <w:color w:val="000000"/>
                <w:kern w:val="0"/>
                <w:sz w:val="22"/>
              </w:rPr>
              <w:t>填报单位：</w:t>
            </w:r>
            <w:r>
              <w:rPr>
                <w:rFonts w:hint="eastAsia" w:ascii="Times New Roman" w:hAnsi="Times New Roman"/>
                <w:color w:val="000000"/>
                <w:kern w:val="0"/>
                <w:sz w:val="22"/>
                <w:lang w:val="en-US" w:eastAsia="zh-CN"/>
              </w:rPr>
              <w:t>衡阳市机关事务管理局</w:t>
            </w:r>
            <w:r>
              <w:rPr>
                <w:rFonts w:ascii="Times New Roman" w:hAnsi="Times New Roman"/>
                <w:color w:val="000000"/>
                <w:kern w:val="0"/>
                <w:sz w:val="22"/>
              </w:rPr>
              <w:t xml:space="preserve"> （盖章）</w:t>
            </w:r>
            <w:r>
              <w:rPr>
                <w:rFonts w:hint="eastAsia" w:ascii="Times New Roman" w:hAnsi="Times New Roman"/>
                <w:color w:val="000000"/>
                <w:kern w:val="0"/>
                <w:sz w:val="22"/>
                <w:lang w:val="en-US" w:eastAsia="zh-CN"/>
              </w:rPr>
              <w:t xml:space="preserve">                 （2022年度）</w:t>
            </w:r>
          </w:p>
        </w:tc>
      </w:tr>
      <w:tr w14:paraId="2D4AF715">
        <w:tblPrEx>
          <w:tblCellMar>
            <w:top w:w="0" w:type="dxa"/>
            <w:left w:w="108" w:type="dxa"/>
            <w:bottom w:w="0" w:type="dxa"/>
            <w:right w:w="108" w:type="dxa"/>
          </w:tblCellMar>
        </w:tblPrEx>
        <w:trPr>
          <w:trHeight w:val="90" w:hRule="atLeast"/>
          <w:jc w:val="center"/>
        </w:trPr>
        <w:tc>
          <w:tcPr>
            <w:tcW w:w="1309" w:type="dxa"/>
            <w:tcBorders>
              <w:top w:val="nil"/>
              <w:left w:val="single" w:color="auto" w:sz="4" w:space="0"/>
              <w:bottom w:val="single" w:color="auto" w:sz="4" w:space="0"/>
              <w:right w:val="single" w:color="auto" w:sz="4" w:space="0"/>
            </w:tcBorders>
            <w:shd w:val="clear" w:color="auto" w:fill="auto"/>
            <w:noWrap/>
            <w:vAlign w:val="center"/>
          </w:tcPr>
          <w:p w14:paraId="0F77032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503" w:type="dxa"/>
            <w:gridSpan w:val="4"/>
            <w:tcBorders>
              <w:top w:val="single" w:color="auto" w:sz="4" w:space="0"/>
              <w:left w:val="nil"/>
              <w:bottom w:val="single" w:color="auto" w:sz="4" w:space="0"/>
              <w:right w:val="single" w:color="000000" w:sz="4" w:space="0"/>
            </w:tcBorders>
            <w:shd w:val="clear" w:color="auto" w:fill="auto"/>
            <w:noWrap/>
            <w:vAlign w:val="center"/>
          </w:tcPr>
          <w:p w14:paraId="7287B06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衡阳市机关事务管理局</w:t>
            </w:r>
            <w:r>
              <w:rPr>
                <w:rFonts w:ascii="Times New Roman" w:hAnsi="Times New Roman" w:eastAsia="仿宋_GB2312"/>
                <w:color w:val="000000"/>
                <w:kern w:val="0"/>
                <w:szCs w:val="21"/>
              </w:rPr>
              <w:t>　</w:t>
            </w:r>
          </w:p>
        </w:tc>
        <w:tc>
          <w:tcPr>
            <w:tcW w:w="980" w:type="dxa"/>
            <w:tcBorders>
              <w:top w:val="single" w:color="auto" w:sz="4" w:space="0"/>
              <w:left w:val="nil"/>
              <w:bottom w:val="single" w:color="auto" w:sz="4" w:space="0"/>
              <w:right w:val="single" w:color="000000" w:sz="4" w:space="0"/>
            </w:tcBorders>
            <w:shd w:val="clear" w:color="auto" w:fill="auto"/>
            <w:noWrap/>
            <w:vAlign w:val="center"/>
          </w:tcPr>
          <w:p w14:paraId="0AA4AD0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执行数</w:t>
            </w:r>
          </w:p>
        </w:tc>
        <w:tc>
          <w:tcPr>
            <w:tcW w:w="921" w:type="dxa"/>
            <w:gridSpan w:val="2"/>
            <w:tcBorders>
              <w:top w:val="single" w:color="auto" w:sz="4" w:space="0"/>
              <w:left w:val="nil"/>
              <w:bottom w:val="single" w:color="auto" w:sz="4" w:space="0"/>
              <w:right w:val="single" w:color="000000" w:sz="4" w:space="0"/>
            </w:tcBorders>
            <w:shd w:val="clear" w:color="auto" w:fill="auto"/>
            <w:noWrap/>
            <w:vAlign w:val="top"/>
          </w:tcPr>
          <w:p w14:paraId="7A9DB3F0">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资金执行率</w:t>
            </w:r>
          </w:p>
        </w:tc>
        <w:tc>
          <w:tcPr>
            <w:tcW w:w="1023" w:type="dxa"/>
            <w:gridSpan w:val="2"/>
            <w:tcBorders>
              <w:top w:val="single" w:color="auto" w:sz="4" w:space="0"/>
              <w:left w:val="nil"/>
              <w:bottom w:val="single" w:color="auto" w:sz="4" w:space="0"/>
              <w:right w:val="single" w:color="000000" w:sz="4" w:space="0"/>
            </w:tcBorders>
            <w:shd w:val="clear" w:color="auto" w:fill="auto"/>
            <w:noWrap/>
            <w:vAlign w:val="center"/>
          </w:tcPr>
          <w:p w14:paraId="17330D3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分值</w:t>
            </w:r>
          </w:p>
        </w:tc>
        <w:tc>
          <w:tcPr>
            <w:tcW w:w="945" w:type="dxa"/>
            <w:tcBorders>
              <w:top w:val="single" w:color="auto" w:sz="4" w:space="0"/>
              <w:left w:val="nil"/>
              <w:bottom w:val="single" w:color="auto" w:sz="4" w:space="0"/>
              <w:right w:val="single" w:color="000000" w:sz="4" w:space="0"/>
            </w:tcBorders>
            <w:shd w:val="clear" w:color="auto" w:fill="auto"/>
            <w:noWrap/>
            <w:vAlign w:val="center"/>
          </w:tcPr>
          <w:p w14:paraId="788E83FC">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得分</w:t>
            </w:r>
          </w:p>
        </w:tc>
      </w:tr>
      <w:tr w14:paraId="73D64106">
        <w:tblPrEx>
          <w:tblCellMar>
            <w:top w:w="0" w:type="dxa"/>
            <w:left w:w="108" w:type="dxa"/>
            <w:bottom w:w="0" w:type="dxa"/>
            <w:right w:w="108" w:type="dxa"/>
          </w:tblCellMar>
        </w:tblPrEx>
        <w:trPr>
          <w:trHeight w:val="442" w:hRule="atLeast"/>
          <w:jc w:val="center"/>
        </w:trPr>
        <w:tc>
          <w:tcPr>
            <w:tcW w:w="1309" w:type="dxa"/>
            <w:vMerge w:val="restart"/>
            <w:tcBorders>
              <w:top w:val="nil"/>
              <w:left w:val="single" w:color="auto" w:sz="4" w:space="0"/>
              <w:right w:val="single" w:color="auto" w:sz="4" w:space="0"/>
            </w:tcBorders>
            <w:shd w:val="clear" w:color="auto" w:fill="auto"/>
            <w:noWrap/>
            <w:vAlign w:val="center"/>
          </w:tcPr>
          <w:p w14:paraId="7CF10F2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3DFA79E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503" w:type="dxa"/>
            <w:gridSpan w:val="4"/>
            <w:tcBorders>
              <w:top w:val="single" w:color="auto" w:sz="4" w:space="0"/>
              <w:left w:val="nil"/>
              <w:bottom w:val="single" w:color="auto" w:sz="4" w:space="0"/>
              <w:right w:val="single" w:color="000000" w:sz="4" w:space="0"/>
            </w:tcBorders>
            <w:shd w:val="clear" w:color="auto" w:fill="auto"/>
            <w:noWrap/>
            <w:vAlign w:val="center"/>
          </w:tcPr>
          <w:p w14:paraId="25D34CCF">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资金总额：</w:t>
            </w:r>
            <w:r>
              <w:rPr>
                <w:rFonts w:hint="eastAsia" w:ascii="Times New Roman" w:hAnsi="Times New Roman" w:eastAsia="仿宋_GB2312"/>
                <w:color w:val="000000"/>
                <w:kern w:val="0"/>
                <w:szCs w:val="21"/>
                <w:lang w:val="en-US" w:eastAsia="zh-CN"/>
              </w:rPr>
              <w:t>1311.45元</w:t>
            </w:r>
          </w:p>
        </w:tc>
        <w:tc>
          <w:tcPr>
            <w:tcW w:w="980" w:type="dxa"/>
            <w:tcBorders>
              <w:top w:val="single" w:color="auto" w:sz="4" w:space="0"/>
              <w:left w:val="nil"/>
              <w:bottom w:val="single" w:color="auto" w:sz="4" w:space="0"/>
              <w:right w:val="single" w:color="000000" w:sz="4" w:space="0"/>
            </w:tcBorders>
            <w:shd w:val="clear" w:color="auto" w:fill="auto"/>
            <w:noWrap/>
            <w:vAlign w:val="center"/>
          </w:tcPr>
          <w:p w14:paraId="1D1BD847">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1311.45</w:t>
            </w:r>
          </w:p>
        </w:tc>
        <w:tc>
          <w:tcPr>
            <w:tcW w:w="921" w:type="dxa"/>
            <w:gridSpan w:val="2"/>
            <w:tcBorders>
              <w:top w:val="single" w:color="auto" w:sz="4" w:space="0"/>
              <w:left w:val="nil"/>
              <w:bottom w:val="single" w:color="auto" w:sz="4" w:space="0"/>
              <w:right w:val="single" w:color="000000" w:sz="4" w:space="0"/>
            </w:tcBorders>
            <w:shd w:val="clear" w:color="auto" w:fill="auto"/>
            <w:noWrap/>
            <w:vAlign w:val="center"/>
          </w:tcPr>
          <w:p w14:paraId="09CAE17E">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023" w:type="dxa"/>
            <w:gridSpan w:val="2"/>
            <w:tcBorders>
              <w:top w:val="single" w:color="auto" w:sz="4" w:space="0"/>
              <w:left w:val="nil"/>
              <w:bottom w:val="single" w:color="auto" w:sz="4" w:space="0"/>
              <w:right w:val="single" w:color="000000" w:sz="4" w:space="0"/>
            </w:tcBorders>
            <w:shd w:val="clear" w:color="auto" w:fill="auto"/>
            <w:noWrap/>
            <w:vAlign w:val="center"/>
          </w:tcPr>
          <w:p w14:paraId="4E4298AE">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945" w:type="dxa"/>
            <w:tcBorders>
              <w:top w:val="single" w:color="auto" w:sz="4" w:space="0"/>
              <w:left w:val="nil"/>
              <w:bottom w:val="single" w:color="auto" w:sz="4" w:space="0"/>
              <w:right w:val="single" w:color="000000" w:sz="4" w:space="0"/>
            </w:tcBorders>
            <w:shd w:val="clear" w:color="auto" w:fill="auto"/>
            <w:noWrap/>
            <w:vAlign w:val="center"/>
          </w:tcPr>
          <w:p w14:paraId="6A64B317">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14:paraId="3A95B247">
        <w:tblPrEx>
          <w:tblCellMar>
            <w:top w:w="0" w:type="dxa"/>
            <w:left w:w="108" w:type="dxa"/>
            <w:bottom w:w="0" w:type="dxa"/>
            <w:right w:w="108" w:type="dxa"/>
          </w:tblCellMar>
        </w:tblPrEx>
        <w:trPr>
          <w:trHeight w:val="397" w:hRule="atLeast"/>
          <w:jc w:val="center"/>
        </w:trPr>
        <w:tc>
          <w:tcPr>
            <w:tcW w:w="1309" w:type="dxa"/>
            <w:vMerge w:val="continue"/>
            <w:tcBorders>
              <w:left w:val="single" w:color="auto" w:sz="4" w:space="0"/>
              <w:right w:val="single" w:color="auto" w:sz="4" w:space="0"/>
            </w:tcBorders>
            <w:shd w:val="clear" w:color="auto" w:fill="auto"/>
            <w:noWrap/>
            <w:vAlign w:val="center"/>
          </w:tcPr>
          <w:p w14:paraId="2787E3EF">
            <w:pPr>
              <w:widowControl/>
              <w:spacing w:line="260" w:lineRule="exact"/>
              <w:jc w:val="center"/>
              <w:rPr>
                <w:rFonts w:ascii="Times New Roman" w:hAnsi="Times New Roman" w:eastAsia="仿宋_GB2312"/>
                <w:color w:val="000000"/>
                <w:kern w:val="0"/>
                <w:szCs w:val="21"/>
              </w:rPr>
            </w:pPr>
          </w:p>
        </w:tc>
        <w:tc>
          <w:tcPr>
            <w:tcW w:w="4503" w:type="dxa"/>
            <w:gridSpan w:val="4"/>
            <w:tcBorders>
              <w:top w:val="single" w:color="auto" w:sz="4" w:space="0"/>
              <w:left w:val="nil"/>
              <w:bottom w:val="single" w:color="auto" w:sz="4" w:space="0"/>
              <w:right w:val="single" w:color="000000" w:sz="4" w:space="0"/>
            </w:tcBorders>
            <w:shd w:val="clear" w:color="auto" w:fill="auto"/>
            <w:noWrap/>
            <w:vAlign w:val="center"/>
          </w:tcPr>
          <w:p w14:paraId="4133FC70">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lang w:val="en-US" w:eastAsia="zh-CN"/>
              </w:rPr>
              <w:t xml:space="preserve">                         </w:t>
            </w:r>
          </w:p>
        </w:tc>
        <w:tc>
          <w:tcPr>
            <w:tcW w:w="3869" w:type="dxa"/>
            <w:gridSpan w:val="6"/>
            <w:tcBorders>
              <w:top w:val="single" w:color="auto" w:sz="4" w:space="0"/>
              <w:left w:val="nil"/>
              <w:bottom w:val="single" w:color="auto" w:sz="4" w:space="0"/>
              <w:right w:val="single" w:color="000000" w:sz="4" w:space="0"/>
            </w:tcBorders>
            <w:shd w:val="clear" w:color="auto" w:fill="auto"/>
            <w:noWrap/>
            <w:vAlign w:val="center"/>
          </w:tcPr>
          <w:p w14:paraId="57059963">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按支出性质分：</w:t>
            </w:r>
          </w:p>
        </w:tc>
      </w:tr>
      <w:tr w14:paraId="51105775">
        <w:tblPrEx>
          <w:tblCellMar>
            <w:top w:w="0" w:type="dxa"/>
            <w:left w:w="108" w:type="dxa"/>
            <w:bottom w:w="0" w:type="dxa"/>
            <w:right w:w="108" w:type="dxa"/>
          </w:tblCellMar>
        </w:tblPrEx>
        <w:trPr>
          <w:trHeight w:val="367" w:hRule="atLeast"/>
          <w:jc w:val="center"/>
        </w:trPr>
        <w:tc>
          <w:tcPr>
            <w:tcW w:w="1309" w:type="dxa"/>
            <w:vMerge w:val="continue"/>
            <w:tcBorders>
              <w:left w:val="single" w:color="auto" w:sz="4" w:space="0"/>
              <w:right w:val="single" w:color="auto" w:sz="4" w:space="0"/>
            </w:tcBorders>
            <w:shd w:val="clear" w:color="auto" w:fill="auto"/>
            <w:noWrap/>
            <w:vAlign w:val="center"/>
          </w:tcPr>
          <w:p w14:paraId="1A0820B7">
            <w:pPr>
              <w:widowControl/>
              <w:spacing w:line="260" w:lineRule="exact"/>
              <w:jc w:val="center"/>
              <w:rPr>
                <w:rFonts w:ascii="Times New Roman" w:hAnsi="Times New Roman" w:eastAsia="仿宋_GB2312"/>
                <w:color w:val="000000"/>
                <w:kern w:val="0"/>
                <w:szCs w:val="21"/>
              </w:rPr>
            </w:pPr>
          </w:p>
        </w:tc>
        <w:tc>
          <w:tcPr>
            <w:tcW w:w="4503" w:type="dxa"/>
            <w:gridSpan w:val="4"/>
            <w:tcBorders>
              <w:top w:val="single" w:color="auto" w:sz="4" w:space="0"/>
              <w:left w:val="nil"/>
              <w:bottom w:val="single" w:color="auto" w:sz="4" w:space="0"/>
              <w:right w:val="single" w:color="000000" w:sz="4" w:space="0"/>
            </w:tcBorders>
            <w:shd w:val="clear" w:color="auto" w:fill="auto"/>
            <w:noWrap/>
            <w:vAlign w:val="center"/>
          </w:tcPr>
          <w:p w14:paraId="4658CDB6">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lang w:val="en-US" w:eastAsia="zh-CN"/>
              </w:rPr>
              <w:t>1284.92万元</w:t>
            </w:r>
          </w:p>
        </w:tc>
        <w:tc>
          <w:tcPr>
            <w:tcW w:w="3869" w:type="dxa"/>
            <w:gridSpan w:val="6"/>
            <w:tcBorders>
              <w:top w:val="single" w:color="auto" w:sz="4" w:space="0"/>
              <w:left w:val="nil"/>
              <w:bottom w:val="single" w:color="auto" w:sz="4" w:space="0"/>
              <w:right w:val="single" w:color="000000" w:sz="4" w:space="0"/>
            </w:tcBorders>
            <w:shd w:val="clear" w:color="auto" w:fill="auto"/>
            <w:noWrap/>
            <w:vAlign w:val="center"/>
          </w:tcPr>
          <w:p w14:paraId="4A19E49E">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其中：基本支出：493.5</w:t>
            </w:r>
            <w:r>
              <w:rPr>
                <w:rFonts w:hint="default" w:ascii="Times New Roman" w:hAnsi="Times New Roman" w:eastAsia="仿宋_GB2312"/>
                <w:color w:val="000000"/>
                <w:kern w:val="0"/>
                <w:szCs w:val="21"/>
                <w:lang w:val="en" w:eastAsia="zh-CN"/>
              </w:rPr>
              <w:t>1</w:t>
            </w:r>
            <w:r>
              <w:rPr>
                <w:rFonts w:hint="eastAsia" w:ascii="Times New Roman" w:hAnsi="Times New Roman" w:eastAsia="仿宋_GB2312"/>
                <w:color w:val="000000"/>
                <w:kern w:val="0"/>
                <w:szCs w:val="21"/>
                <w:lang w:val="en-US" w:eastAsia="zh-CN"/>
              </w:rPr>
              <w:t>万元</w:t>
            </w:r>
          </w:p>
        </w:tc>
      </w:tr>
      <w:tr w14:paraId="0951C7E7">
        <w:tblPrEx>
          <w:tblCellMar>
            <w:top w:w="0" w:type="dxa"/>
            <w:left w:w="108" w:type="dxa"/>
            <w:bottom w:w="0" w:type="dxa"/>
            <w:right w:w="108" w:type="dxa"/>
          </w:tblCellMar>
        </w:tblPrEx>
        <w:trPr>
          <w:trHeight w:val="90" w:hRule="atLeast"/>
          <w:jc w:val="center"/>
        </w:trPr>
        <w:tc>
          <w:tcPr>
            <w:tcW w:w="1309" w:type="dxa"/>
            <w:vMerge w:val="continue"/>
            <w:tcBorders>
              <w:left w:val="single" w:color="auto" w:sz="4" w:space="0"/>
              <w:right w:val="single" w:color="auto" w:sz="4" w:space="0"/>
            </w:tcBorders>
            <w:shd w:val="clear" w:color="auto" w:fill="auto"/>
            <w:noWrap/>
            <w:vAlign w:val="center"/>
          </w:tcPr>
          <w:p w14:paraId="72878AD3">
            <w:pPr>
              <w:widowControl/>
              <w:spacing w:line="260" w:lineRule="exact"/>
              <w:jc w:val="center"/>
              <w:rPr>
                <w:rFonts w:ascii="Times New Roman" w:hAnsi="Times New Roman" w:eastAsia="仿宋_GB2312"/>
                <w:color w:val="000000"/>
                <w:kern w:val="0"/>
                <w:szCs w:val="21"/>
              </w:rPr>
            </w:pPr>
          </w:p>
        </w:tc>
        <w:tc>
          <w:tcPr>
            <w:tcW w:w="4503" w:type="dxa"/>
            <w:gridSpan w:val="4"/>
            <w:tcBorders>
              <w:top w:val="single" w:color="auto" w:sz="4" w:space="0"/>
              <w:left w:val="nil"/>
              <w:bottom w:val="single" w:color="auto" w:sz="4" w:space="0"/>
              <w:right w:val="single" w:color="000000" w:sz="4" w:space="0"/>
            </w:tcBorders>
            <w:shd w:val="clear" w:color="auto" w:fill="auto"/>
            <w:noWrap/>
            <w:vAlign w:val="center"/>
          </w:tcPr>
          <w:p w14:paraId="49A3B899">
            <w:pPr>
              <w:widowControl/>
              <w:ind w:firstLine="840" w:firstLineChars="400"/>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政府性基金拨款：</w:t>
            </w:r>
            <w:r>
              <w:rPr>
                <w:rFonts w:hint="eastAsia" w:ascii="Times New Roman" w:hAnsi="Times New Roman" w:eastAsia="仿宋_GB2312"/>
                <w:color w:val="000000"/>
                <w:kern w:val="0"/>
                <w:szCs w:val="21"/>
                <w:lang w:val="en-US" w:eastAsia="zh-CN"/>
              </w:rPr>
              <w:t>0</w:t>
            </w:r>
          </w:p>
        </w:tc>
        <w:tc>
          <w:tcPr>
            <w:tcW w:w="3869" w:type="dxa"/>
            <w:gridSpan w:val="6"/>
            <w:tcBorders>
              <w:top w:val="single" w:color="auto" w:sz="4" w:space="0"/>
              <w:left w:val="nil"/>
              <w:bottom w:val="single" w:color="auto" w:sz="4" w:space="0"/>
              <w:right w:val="single" w:color="000000" w:sz="4" w:space="0"/>
            </w:tcBorders>
            <w:shd w:val="clear" w:color="auto" w:fill="auto"/>
            <w:noWrap/>
            <w:vAlign w:val="center"/>
          </w:tcPr>
          <w:p w14:paraId="44D9C9A9">
            <w:pPr>
              <w:widowControl/>
              <w:ind w:firstLine="840" w:firstLineChars="4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项目支出：817.9</w:t>
            </w:r>
            <w:r>
              <w:rPr>
                <w:rFonts w:hint="default" w:ascii="Times New Roman" w:hAnsi="Times New Roman" w:eastAsia="仿宋_GB2312"/>
                <w:color w:val="000000"/>
                <w:kern w:val="0"/>
                <w:szCs w:val="21"/>
                <w:lang w:val="en" w:eastAsia="zh-CN"/>
              </w:rPr>
              <w:t>4</w:t>
            </w:r>
            <w:r>
              <w:rPr>
                <w:rFonts w:hint="eastAsia" w:ascii="Times New Roman" w:hAnsi="Times New Roman" w:eastAsia="仿宋_GB2312"/>
                <w:color w:val="000000"/>
                <w:kern w:val="0"/>
                <w:szCs w:val="21"/>
                <w:lang w:val="en-US" w:eastAsia="zh-CN"/>
              </w:rPr>
              <w:t>万</w:t>
            </w:r>
          </w:p>
        </w:tc>
      </w:tr>
      <w:tr w14:paraId="2F9A4EF2">
        <w:tblPrEx>
          <w:tblCellMar>
            <w:top w:w="0" w:type="dxa"/>
            <w:left w:w="108" w:type="dxa"/>
            <w:bottom w:w="0" w:type="dxa"/>
            <w:right w:w="108" w:type="dxa"/>
          </w:tblCellMar>
        </w:tblPrEx>
        <w:trPr>
          <w:trHeight w:val="90" w:hRule="atLeast"/>
          <w:jc w:val="center"/>
        </w:trPr>
        <w:tc>
          <w:tcPr>
            <w:tcW w:w="1309" w:type="dxa"/>
            <w:vMerge w:val="continue"/>
            <w:tcBorders>
              <w:left w:val="single" w:color="auto" w:sz="4" w:space="0"/>
              <w:right w:val="single" w:color="auto" w:sz="4" w:space="0"/>
            </w:tcBorders>
            <w:shd w:val="clear" w:color="auto" w:fill="auto"/>
            <w:noWrap/>
            <w:vAlign w:val="center"/>
          </w:tcPr>
          <w:p w14:paraId="1FB1D981">
            <w:pPr>
              <w:widowControl/>
              <w:spacing w:line="260" w:lineRule="exact"/>
              <w:jc w:val="center"/>
              <w:rPr>
                <w:rFonts w:ascii="Times New Roman" w:hAnsi="Times New Roman" w:eastAsia="仿宋_GB2312"/>
                <w:color w:val="000000"/>
                <w:kern w:val="0"/>
                <w:szCs w:val="21"/>
              </w:rPr>
            </w:pPr>
          </w:p>
        </w:tc>
        <w:tc>
          <w:tcPr>
            <w:tcW w:w="4503" w:type="dxa"/>
            <w:gridSpan w:val="4"/>
            <w:tcBorders>
              <w:top w:val="single" w:color="auto" w:sz="4" w:space="0"/>
              <w:left w:val="nil"/>
              <w:bottom w:val="single" w:color="auto" w:sz="4" w:space="0"/>
              <w:right w:val="single" w:color="000000" w:sz="4" w:space="0"/>
            </w:tcBorders>
            <w:shd w:val="clear" w:color="auto" w:fill="auto"/>
            <w:noWrap/>
            <w:vAlign w:val="center"/>
          </w:tcPr>
          <w:p w14:paraId="1792D03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纳入专户管理的非税收入拨款：</w:t>
            </w:r>
            <w:r>
              <w:rPr>
                <w:rFonts w:hint="eastAsia" w:ascii="Times New Roman" w:hAnsi="Times New Roman" w:eastAsia="仿宋_GB2312"/>
                <w:color w:val="000000"/>
                <w:kern w:val="0"/>
                <w:szCs w:val="21"/>
                <w:lang w:val="en-US" w:eastAsia="zh-CN"/>
              </w:rPr>
              <w:t>26.53万元</w:t>
            </w:r>
          </w:p>
        </w:tc>
        <w:tc>
          <w:tcPr>
            <w:tcW w:w="3869" w:type="dxa"/>
            <w:gridSpan w:val="6"/>
            <w:tcBorders>
              <w:top w:val="single" w:color="auto" w:sz="4" w:space="0"/>
              <w:left w:val="nil"/>
              <w:bottom w:val="single" w:color="auto" w:sz="4" w:space="0"/>
              <w:right w:val="single" w:color="000000" w:sz="4" w:space="0"/>
            </w:tcBorders>
            <w:shd w:val="clear" w:color="auto" w:fill="auto"/>
            <w:noWrap/>
            <w:vAlign w:val="center"/>
          </w:tcPr>
          <w:p w14:paraId="0F1F81ED">
            <w:pPr>
              <w:widowControl/>
              <w:jc w:val="left"/>
              <w:rPr>
                <w:rFonts w:ascii="Times New Roman" w:hAnsi="Times New Roman" w:eastAsia="仿宋_GB2312"/>
                <w:color w:val="000000"/>
                <w:kern w:val="0"/>
                <w:szCs w:val="21"/>
              </w:rPr>
            </w:pPr>
          </w:p>
        </w:tc>
      </w:tr>
      <w:tr w14:paraId="553979EF">
        <w:tblPrEx>
          <w:tblCellMar>
            <w:top w:w="0" w:type="dxa"/>
            <w:left w:w="108" w:type="dxa"/>
            <w:bottom w:w="0" w:type="dxa"/>
            <w:right w:w="108" w:type="dxa"/>
          </w:tblCellMar>
        </w:tblPrEx>
        <w:trPr>
          <w:trHeight w:val="90" w:hRule="atLeast"/>
          <w:jc w:val="center"/>
        </w:trPr>
        <w:tc>
          <w:tcPr>
            <w:tcW w:w="1309" w:type="dxa"/>
            <w:vMerge w:val="continue"/>
            <w:tcBorders>
              <w:left w:val="single" w:color="auto" w:sz="4" w:space="0"/>
              <w:bottom w:val="single" w:color="auto" w:sz="4" w:space="0"/>
              <w:right w:val="single" w:color="auto" w:sz="4" w:space="0"/>
            </w:tcBorders>
            <w:shd w:val="clear" w:color="auto" w:fill="auto"/>
            <w:noWrap/>
            <w:vAlign w:val="center"/>
          </w:tcPr>
          <w:p w14:paraId="6C7AA28A">
            <w:pPr>
              <w:widowControl/>
              <w:spacing w:line="260" w:lineRule="exact"/>
              <w:jc w:val="center"/>
              <w:rPr>
                <w:rFonts w:ascii="Times New Roman" w:hAnsi="Times New Roman" w:eastAsia="仿宋_GB2312"/>
                <w:color w:val="000000"/>
                <w:kern w:val="0"/>
                <w:szCs w:val="21"/>
              </w:rPr>
            </w:pPr>
          </w:p>
        </w:tc>
        <w:tc>
          <w:tcPr>
            <w:tcW w:w="4503" w:type="dxa"/>
            <w:gridSpan w:val="4"/>
            <w:tcBorders>
              <w:top w:val="single" w:color="auto" w:sz="4" w:space="0"/>
              <w:left w:val="nil"/>
              <w:bottom w:val="single" w:color="auto" w:sz="4" w:space="0"/>
              <w:right w:val="single" w:color="000000" w:sz="4" w:space="0"/>
            </w:tcBorders>
            <w:shd w:val="clear" w:color="auto" w:fill="auto"/>
            <w:noWrap/>
            <w:vAlign w:val="center"/>
          </w:tcPr>
          <w:p w14:paraId="3FE47CF3">
            <w:pPr>
              <w:widowControl/>
              <w:ind w:firstLine="1680" w:firstLineChars="800"/>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其他资金：</w:t>
            </w:r>
            <w:r>
              <w:rPr>
                <w:rFonts w:hint="eastAsia" w:ascii="Times New Roman" w:hAnsi="Times New Roman" w:eastAsia="仿宋_GB2312"/>
                <w:color w:val="000000"/>
                <w:kern w:val="0"/>
                <w:szCs w:val="21"/>
                <w:lang w:val="en-US" w:eastAsia="zh-CN"/>
              </w:rPr>
              <w:t>0</w:t>
            </w:r>
          </w:p>
        </w:tc>
        <w:tc>
          <w:tcPr>
            <w:tcW w:w="3869" w:type="dxa"/>
            <w:gridSpan w:val="6"/>
            <w:tcBorders>
              <w:top w:val="single" w:color="auto" w:sz="4" w:space="0"/>
              <w:left w:val="nil"/>
              <w:bottom w:val="single" w:color="auto" w:sz="4" w:space="0"/>
              <w:right w:val="single" w:color="000000" w:sz="4" w:space="0"/>
            </w:tcBorders>
            <w:shd w:val="clear" w:color="auto" w:fill="auto"/>
            <w:noWrap/>
            <w:vAlign w:val="center"/>
          </w:tcPr>
          <w:p w14:paraId="43FEB50E">
            <w:pPr>
              <w:widowControl/>
              <w:ind w:firstLine="1680" w:firstLineChars="800"/>
              <w:jc w:val="left"/>
              <w:rPr>
                <w:rFonts w:ascii="Times New Roman" w:hAnsi="Times New Roman" w:eastAsia="仿宋_GB2312"/>
                <w:color w:val="000000"/>
                <w:kern w:val="0"/>
                <w:szCs w:val="21"/>
              </w:rPr>
            </w:pPr>
          </w:p>
        </w:tc>
      </w:tr>
      <w:tr w14:paraId="02C47690">
        <w:tblPrEx>
          <w:tblCellMar>
            <w:top w:w="0" w:type="dxa"/>
            <w:left w:w="108" w:type="dxa"/>
            <w:bottom w:w="0" w:type="dxa"/>
            <w:right w:w="108" w:type="dxa"/>
          </w:tblCellMar>
        </w:tblPrEx>
        <w:trPr>
          <w:trHeight w:val="90" w:hRule="atLeast"/>
          <w:jc w:val="center"/>
        </w:trPr>
        <w:tc>
          <w:tcPr>
            <w:tcW w:w="1309" w:type="dxa"/>
            <w:tcBorders>
              <w:top w:val="nil"/>
              <w:left w:val="single" w:color="auto" w:sz="4" w:space="0"/>
              <w:bottom w:val="single" w:color="auto" w:sz="4" w:space="0"/>
              <w:right w:val="single" w:color="auto" w:sz="4" w:space="0"/>
            </w:tcBorders>
            <w:shd w:val="clear" w:color="auto" w:fill="auto"/>
            <w:noWrap/>
            <w:vAlign w:val="center"/>
          </w:tcPr>
          <w:p w14:paraId="69ABB65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372" w:type="dxa"/>
            <w:gridSpan w:val="10"/>
            <w:tcBorders>
              <w:top w:val="single" w:color="auto" w:sz="4" w:space="0"/>
              <w:left w:val="nil"/>
              <w:bottom w:val="single" w:color="auto" w:sz="4" w:space="0"/>
              <w:right w:val="single" w:color="auto" w:sz="4" w:space="0"/>
            </w:tcBorders>
            <w:shd w:val="clear" w:color="auto" w:fill="auto"/>
            <w:noWrap/>
            <w:vAlign w:val="center"/>
          </w:tcPr>
          <w:p w14:paraId="6022CFC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1.指导全市机关事务工作，负责市直机关事务的管理、保障和服务工作。2.指导全市机关单位办公用房管理，负责市直机关单位办公用房管理。3.负责市直行政事业单位机关国有资产管理。4.负责公务用车管理工作。5.统筹协调全市公共机构节能工作。6.会同相关部门管理、指导、监督、检查全市行政事业单位公务接待工作。7.负责指导市直机关单位后勤服务人员培训工作。负责指导全市机关后勤服务体制改革工作。</w:t>
            </w:r>
          </w:p>
        </w:tc>
      </w:tr>
      <w:tr w14:paraId="78DE11EA">
        <w:tblPrEx>
          <w:tblCellMar>
            <w:top w:w="0" w:type="dxa"/>
            <w:left w:w="108" w:type="dxa"/>
            <w:bottom w:w="0" w:type="dxa"/>
            <w:right w:w="108" w:type="dxa"/>
          </w:tblCellMar>
        </w:tblPrEx>
        <w:trPr>
          <w:trHeight w:val="1977" w:hRule="atLeast"/>
          <w:jc w:val="center"/>
        </w:trPr>
        <w:tc>
          <w:tcPr>
            <w:tcW w:w="1309" w:type="dxa"/>
            <w:tcBorders>
              <w:top w:val="nil"/>
              <w:left w:val="single" w:color="auto" w:sz="4" w:space="0"/>
              <w:bottom w:val="single" w:color="auto" w:sz="4" w:space="0"/>
              <w:right w:val="single" w:color="auto" w:sz="4" w:space="0"/>
            </w:tcBorders>
            <w:shd w:val="clear" w:color="auto" w:fill="auto"/>
            <w:noWrap/>
            <w:vAlign w:val="center"/>
          </w:tcPr>
          <w:p w14:paraId="4F5AFAF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6C3A033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372" w:type="dxa"/>
            <w:gridSpan w:val="10"/>
            <w:tcBorders>
              <w:top w:val="single" w:color="auto" w:sz="4" w:space="0"/>
              <w:left w:val="nil"/>
              <w:bottom w:val="single" w:color="auto" w:sz="4" w:space="0"/>
              <w:right w:val="single" w:color="auto" w:sz="4" w:space="0"/>
            </w:tcBorders>
            <w:shd w:val="clear" w:color="auto" w:fill="auto"/>
            <w:noWrap/>
            <w:vAlign w:val="center"/>
          </w:tcPr>
          <w:p w14:paraId="4FD48E0C">
            <w:pPr>
              <w:widowControl/>
              <w:spacing w:line="360" w:lineRule="auto"/>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一、坚持科学规划、统筹高效，办公用房管理成效显著；二、坚持规范配置、挖潜存量，国有资产实现保值增值； 三、坚持统一调度、定向保障，公务用车管理改革稳步推进； 四、坚持绿色发展、厉行节约，节约型机关建设不断深化；五、坚持民生为本、精细管理，机关服务保障更加完善。</w:t>
            </w:r>
          </w:p>
        </w:tc>
      </w:tr>
      <w:tr w14:paraId="309736A9">
        <w:tblPrEx>
          <w:tblCellMar>
            <w:top w:w="0" w:type="dxa"/>
            <w:left w:w="108" w:type="dxa"/>
            <w:bottom w:w="0" w:type="dxa"/>
            <w:right w:w="108" w:type="dxa"/>
          </w:tblCellMar>
        </w:tblPrEx>
        <w:trPr>
          <w:trHeight w:val="90" w:hRule="atLeast"/>
          <w:jc w:val="center"/>
        </w:trPr>
        <w:tc>
          <w:tcPr>
            <w:tcW w:w="13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C45A03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980" w:type="dxa"/>
            <w:tcBorders>
              <w:top w:val="single" w:color="auto" w:sz="4" w:space="0"/>
              <w:left w:val="nil"/>
              <w:bottom w:val="single" w:color="auto" w:sz="4" w:space="0"/>
              <w:right w:val="single" w:color="auto" w:sz="4" w:space="0"/>
            </w:tcBorders>
            <w:shd w:val="clear" w:color="auto" w:fill="auto"/>
            <w:noWrap/>
            <w:vAlign w:val="center"/>
          </w:tcPr>
          <w:p w14:paraId="130E209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065" w:type="dxa"/>
            <w:tcBorders>
              <w:top w:val="single" w:color="auto" w:sz="4" w:space="0"/>
              <w:left w:val="nil"/>
              <w:bottom w:val="single" w:color="auto" w:sz="4" w:space="0"/>
              <w:right w:val="single" w:color="auto" w:sz="4" w:space="0"/>
            </w:tcBorders>
            <w:shd w:val="clear" w:color="auto" w:fill="auto"/>
            <w:noWrap/>
            <w:vAlign w:val="center"/>
          </w:tcPr>
          <w:p w14:paraId="0ADD75A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0ACBF31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2BCE50B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341F7B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5833C98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76BB6E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0DB17F6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63D5BB4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09054FF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E7DFFD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0E03B3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4389025">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9DCFB7">
            <w:pPr>
              <w:jc w:val="center"/>
              <w:rPr>
                <w:rFonts w:ascii="Times New Roman" w:hAnsi="Times New Roman" w:eastAsia="仿宋_GB2312"/>
                <w:color w:val="000000"/>
                <w:kern w:val="0"/>
                <w:szCs w:val="21"/>
              </w:rPr>
            </w:pPr>
          </w:p>
        </w:tc>
        <w:tc>
          <w:tcPr>
            <w:tcW w:w="980" w:type="dxa"/>
            <w:vMerge w:val="restart"/>
            <w:tcBorders>
              <w:top w:val="single" w:color="auto" w:sz="4" w:space="0"/>
              <w:left w:val="nil"/>
              <w:bottom w:val="single" w:color="auto" w:sz="4" w:space="0"/>
              <w:right w:val="single" w:color="auto" w:sz="4" w:space="0"/>
            </w:tcBorders>
            <w:shd w:val="clear" w:color="auto" w:fill="auto"/>
            <w:noWrap/>
            <w:vAlign w:val="center"/>
          </w:tcPr>
          <w:p w14:paraId="363377E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575741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F045D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lang w:val="en-US" w:eastAsia="zh-CN"/>
              </w:rPr>
              <w:t>50</w:t>
            </w:r>
            <w:r>
              <w:rPr>
                <w:rFonts w:ascii="Times New Roman" w:hAnsi="Times New Roman" w:eastAsia="仿宋_GB2312"/>
                <w:color w:val="000000"/>
                <w:kern w:val="0"/>
                <w:szCs w:val="21"/>
              </w:rPr>
              <w:t>分)</w:t>
            </w:r>
          </w:p>
        </w:tc>
        <w:tc>
          <w:tcPr>
            <w:tcW w:w="1065" w:type="dxa"/>
            <w:vMerge w:val="restart"/>
            <w:tcBorders>
              <w:top w:val="single" w:color="auto" w:sz="4" w:space="0"/>
              <w:left w:val="nil"/>
              <w:right w:val="single" w:color="auto" w:sz="4" w:space="0"/>
            </w:tcBorders>
            <w:shd w:val="clear" w:color="auto" w:fill="auto"/>
            <w:noWrap/>
            <w:vAlign w:val="center"/>
          </w:tcPr>
          <w:p w14:paraId="1B17B6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3D614FE9">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产权证管理</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473C196D">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集中保管1577个房产证</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20EE4C7B">
            <w:pPr>
              <w:widowControl/>
              <w:jc w:val="both"/>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实现全部管理</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4B619490">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4254A93D">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78808F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25B67A5">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783AEB">
            <w:pPr>
              <w:jc w:val="center"/>
              <w:rPr>
                <w:rFonts w:ascii="Times New Roman" w:hAnsi="Times New Roman" w:eastAsia="仿宋_GB2312"/>
                <w:color w:val="000000"/>
                <w:kern w:val="0"/>
                <w:szCs w:val="21"/>
              </w:rPr>
            </w:pPr>
          </w:p>
        </w:tc>
        <w:tc>
          <w:tcPr>
            <w:tcW w:w="980" w:type="dxa"/>
            <w:vMerge w:val="continue"/>
            <w:tcBorders>
              <w:top w:val="single" w:color="auto" w:sz="4" w:space="0"/>
              <w:left w:val="nil"/>
              <w:bottom w:val="single" w:color="auto" w:sz="4" w:space="0"/>
              <w:right w:val="single" w:color="auto" w:sz="4" w:space="0"/>
            </w:tcBorders>
            <w:shd w:val="clear" w:color="auto" w:fill="auto"/>
            <w:noWrap/>
            <w:vAlign w:val="center"/>
          </w:tcPr>
          <w:p w14:paraId="0FD1DE3E">
            <w:pPr>
              <w:jc w:val="left"/>
              <w:rPr>
                <w:rFonts w:ascii="Times New Roman" w:hAnsi="Times New Roman" w:eastAsia="仿宋_GB2312"/>
                <w:color w:val="000000"/>
                <w:kern w:val="0"/>
                <w:szCs w:val="21"/>
              </w:rPr>
            </w:pPr>
          </w:p>
        </w:tc>
        <w:tc>
          <w:tcPr>
            <w:tcW w:w="1065" w:type="dxa"/>
            <w:vMerge w:val="continue"/>
            <w:tcBorders>
              <w:left w:val="nil"/>
              <w:right w:val="single" w:color="auto" w:sz="4" w:space="0"/>
            </w:tcBorders>
            <w:shd w:val="clear" w:color="auto" w:fill="auto"/>
            <w:noWrap/>
            <w:vAlign w:val="center"/>
          </w:tcPr>
          <w:p w14:paraId="3AFA4CB3">
            <w:pPr>
              <w:widowControl/>
              <w:jc w:val="center"/>
              <w:rPr>
                <w:rFonts w:ascii="Times New Roman" w:hAnsi="Times New Roman" w:eastAsia="仿宋_GB2312"/>
                <w:color w:val="000000"/>
                <w:kern w:val="0"/>
                <w:szCs w:val="21"/>
              </w:rPr>
            </w:pP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1193693B">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腾退办公室检查</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397EC2D2">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对腾退单位专项检查</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1813332B">
            <w:pPr>
              <w:widowControl/>
              <w:jc w:val="both"/>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100%检查</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03D59ACB">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71AA3E99">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46ABEF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64387FE">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2A1E3B">
            <w:pPr>
              <w:jc w:val="center"/>
              <w:rPr>
                <w:rFonts w:ascii="Times New Roman" w:hAnsi="Times New Roman" w:eastAsia="仿宋_GB2312"/>
                <w:color w:val="000000"/>
                <w:kern w:val="0"/>
                <w:szCs w:val="21"/>
              </w:rPr>
            </w:pPr>
          </w:p>
        </w:tc>
        <w:tc>
          <w:tcPr>
            <w:tcW w:w="980" w:type="dxa"/>
            <w:vMerge w:val="continue"/>
            <w:tcBorders>
              <w:top w:val="single" w:color="auto" w:sz="4" w:space="0"/>
              <w:left w:val="nil"/>
              <w:bottom w:val="single" w:color="auto" w:sz="4" w:space="0"/>
              <w:right w:val="single" w:color="auto" w:sz="4" w:space="0"/>
            </w:tcBorders>
            <w:shd w:val="clear" w:color="auto" w:fill="auto"/>
            <w:noWrap/>
            <w:vAlign w:val="center"/>
          </w:tcPr>
          <w:p w14:paraId="0A414C98">
            <w:pPr>
              <w:jc w:val="left"/>
              <w:rPr>
                <w:rFonts w:ascii="Times New Roman" w:hAnsi="Times New Roman" w:eastAsia="仿宋_GB2312"/>
                <w:color w:val="000000"/>
                <w:kern w:val="0"/>
                <w:szCs w:val="21"/>
              </w:rPr>
            </w:pPr>
          </w:p>
        </w:tc>
        <w:tc>
          <w:tcPr>
            <w:tcW w:w="1065" w:type="dxa"/>
            <w:vMerge w:val="continue"/>
            <w:tcBorders>
              <w:left w:val="nil"/>
              <w:right w:val="single" w:color="auto" w:sz="4" w:space="0"/>
            </w:tcBorders>
            <w:shd w:val="clear" w:color="auto" w:fill="auto"/>
            <w:noWrap/>
            <w:vAlign w:val="center"/>
          </w:tcPr>
          <w:p w14:paraId="23056EDD">
            <w:pPr>
              <w:widowControl/>
              <w:jc w:val="center"/>
              <w:rPr>
                <w:rFonts w:ascii="Times New Roman" w:hAnsi="Times New Roman" w:eastAsia="仿宋_GB2312"/>
                <w:color w:val="000000"/>
                <w:kern w:val="0"/>
                <w:szCs w:val="21"/>
              </w:rPr>
            </w:pP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67DE1BC8">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能源资源消费统计</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7E5DF856">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完成1965家单位统计</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51E48F13">
            <w:pPr>
              <w:widowControl/>
              <w:jc w:val="both"/>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100%统计</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5AEF393B">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0CEA71B0">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0E4E95D0">
            <w:pPr>
              <w:widowControl/>
              <w:jc w:val="left"/>
              <w:rPr>
                <w:rFonts w:ascii="Times New Roman" w:hAnsi="Times New Roman" w:eastAsia="仿宋_GB2312"/>
                <w:color w:val="000000"/>
                <w:kern w:val="0"/>
                <w:szCs w:val="21"/>
              </w:rPr>
            </w:pPr>
          </w:p>
        </w:tc>
      </w:tr>
      <w:tr w14:paraId="78F10A26">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6D3A47">
            <w:pPr>
              <w:jc w:val="center"/>
              <w:rPr>
                <w:rFonts w:ascii="Times New Roman" w:hAnsi="Times New Roman" w:eastAsia="仿宋_GB2312"/>
                <w:color w:val="000000"/>
                <w:kern w:val="0"/>
                <w:szCs w:val="21"/>
              </w:rPr>
            </w:pPr>
          </w:p>
        </w:tc>
        <w:tc>
          <w:tcPr>
            <w:tcW w:w="980" w:type="dxa"/>
            <w:vMerge w:val="continue"/>
            <w:tcBorders>
              <w:top w:val="single" w:color="auto" w:sz="4" w:space="0"/>
              <w:left w:val="nil"/>
              <w:bottom w:val="single" w:color="auto" w:sz="4" w:space="0"/>
              <w:right w:val="single" w:color="auto" w:sz="4" w:space="0"/>
            </w:tcBorders>
            <w:shd w:val="clear" w:color="auto" w:fill="auto"/>
            <w:noWrap/>
            <w:vAlign w:val="center"/>
          </w:tcPr>
          <w:p w14:paraId="79A436DD">
            <w:pPr>
              <w:jc w:val="left"/>
              <w:rPr>
                <w:rFonts w:ascii="Times New Roman" w:hAnsi="Times New Roman" w:eastAsia="仿宋_GB2312"/>
                <w:color w:val="000000"/>
                <w:kern w:val="0"/>
                <w:szCs w:val="21"/>
              </w:rPr>
            </w:pPr>
          </w:p>
        </w:tc>
        <w:tc>
          <w:tcPr>
            <w:tcW w:w="1065" w:type="dxa"/>
            <w:vMerge w:val="continue"/>
            <w:tcBorders>
              <w:left w:val="nil"/>
              <w:bottom w:val="single" w:color="auto" w:sz="4" w:space="0"/>
              <w:right w:val="single" w:color="auto" w:sz="4" w:space="0"/>
            </w:tcBorders>
            <w:shd w:val="clear" w:color="auto" w:fill="auto"/>
            <w:noWrap/>
            <w:vAlign w:val="center"/>
          </w:tcPr>
          <w:p w14:paraId="274CF8E4">
            <w:pPr>
              <w:widowControl/>
              <w:jc w:val="center"/>
              <w:rPr>
                <w:rFonts w:ascii="Times New Roman" w:hAnsi="Times New Roman" w:eastAsia="仿宋_GB2312"/>
                <w:color w:val="000000"/>
                <w:kern w:val="0"/>
                <w:szCs w:val="21"/>
              </w:rPr>
            </w:pP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4AF90825">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公车管理</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434450C2">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统一管理全市501台公车</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1A64CFC0">
            <w:pPr>
              <w:widowControl/>
              <w:jc w:val="both"/>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实现全年监控</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4EE85644">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0398ACC8">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0797610D">
            <w:pPr>
              <w:widowControl/>
              <w:jc w:val="left"/>
              <w:rPr>
                <w:rFonts w:ascii="Times New Roman" w:hAnsi="Times New Roman" w:eastAsia="仿宋_GB2312"/>
                <w:color w:val="000000"/>
                <w:kern w:val="0"/>
                <w:szCs w:val="21"/>
              </w:rPr>
            </w:pPr>
          </w:p>
        </w:tc>
      </w:tr>
      <w:tr w14:paraId="15966D59">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B2A4B6">
            <w:pPr>
              <w:jc w:val="center"/>
              <w:rPr>
                <w:rFonts w:ascii="Times New Roman" w:hAnsi="Times New Roman" w:eastAsia="仿宋_GB2312"/>
                <w:color w:val="000000"/>
                <w:kern w:val="0"/>
                <w:szCs w:val="21"/>
              </w:rPr>
            </w:pPr>
          </w:p>
        </w:tc>
        <w:tc>
          <w:tcPr>
            <w:tcW w:w="980" w:type="dxa"/>
            <w:vMerge w:val="continue"/>
            <w:tcBorders>
              <w:top w:val="single" w:color="auto" w:sz="4" w:space="0"/>
              <w:left w:val="nil"/>
              <w:bottom w:val="single" w:color="auto" w:sz="4" w:space="0"/>
              <w:right w:val="single" w:color="auto" w:sz="4" w:space="0"/>
            </w:tcBorders>
            <w:shd w:val="clear" w:color="auto" w:fill="auto"/>
            <w:noWrap/>
            <w:vAlign w:val="center"/>
          </w:tcPr>
          <w:p w14:paraId="0AE6A784">
            <w:pPr>
              <w:jc w:val="left"/>
              <w:rPr>
                <w:rFonts w:ascii="Times New Roman" w:hAnsi="Times New Roman" w:eastAsia="仿宋_GB2312"/>
                <w:color w:val="000000"/>
                <w:kern w:val="0"/>
                <w:szCs w:val="21"/>
              </w:rPr>
            </w:pPr>
          </w:p>
        </w:tc>
        <w:tc>
          <w:tcPr>
            <w:tcW w:w="1065" w:type="dxa"/>
            <w:vMerge w:val="restart"/>
            <w:tcBorders>
              <w:top w:val="single" w:color="auto" w:sz="4" w:space="0"/>
              <w:left w:val="nil"/>
              <w:right w:val="single" w:color="auto" w:sz="4" w:space="0"/>
            </w:tcBorders>
            <w:shd w:val="clear" w:color="auto" w:fill="auto"/>
            <w:noWrap/>
            <w:vAlign w:val="center"/>
          </w:tcPr>
          <w:p w14:paraId="613905B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2EBE31C6">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产权证管理质量</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5607304B">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不遗失损坏房产证</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44F69AB8">
            <w:pPr>
              <w:widowControl/>
              <w:jc w:val="both"/>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全年无遗失损坏</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6F05BE20">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2301C8DB">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76DD85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32B27B">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0D7EF8">
            <w:pPr>
              <w:jc w:val="center"/>
              <w:rPr>
                <w:rFonts w:ascii="Times New Roman" w:hAnsi="Times New Roman" w:eastAsia="仿宋_GB2312"/>
                <w:color w:val="000000"/>
                <w:kern w:val="0"/>
                <w:szCs w:val="21"/>
              </w:rPr>
            </w:pPr>
          </w:p>
        </w:tc>
        <w:tc>
          <w:tcPr>
            <w:tcW w:w="980" w:type="dxa"/>
            <w:vMerge w:val="continue"/>
            <w:tcBorders>
              <w:top w:val="single" w:color="auto" w:sz="4" w:space="0"/>
              <w:left w:val="nil"/>
              <w:bottom w:val="single" w:color="auto" w:sz="4" w:space="0"/>
              <w:right w:val="single" w:color="auto" w:sz="4" w:space="0"/>
            </w:tcBorders>
            <w:shd w:val="clear" w:color="auto" w:fill="auto"/>
            <w:noWrap/>
            <w:vAlign w:val="center"/>
          </w:tcPr>
          <w:p w14:paraId="398780D8">
            <w:pPr>
              <w:jc w:val="left"/>
              <w:rPr>
                <w:rFonts w:ascii="Times New Roman" w:hAnsi="Times New Roman" w:eastAsia="仿宋_GB2312"/>
                <w:color w:val="000000"/>
                <w:kern w:val="0"/>
                <w:szCs w:val="21"/>
              </w:rPr>
            </w:pPr>
          </w:p>
        </w:tc>
        <w:tc>
          <w:tcPr>
            <w:tcW w:w="1065" w:type="dxa"/>
            <w:vMerge w:val="continue"/>
            <w:tcBorders>
              <w:left w:val="nil"/>
              <w:bottom w:val="single" w:color="auto" w:sz="4" w:space="0"/>
              <w:right w:val="single" w:color="auto" w:sz="4" w:space="0"/>
            </w:tcBorders>
            <w:shd w:val="clear" w:color="auto" w:fill="auto"/>
            <w:noWrap/>
            <w:vAlign w:val="center"/>
          </w:tcPr>
          <w:p w14:paraId="20A248E9">
            <w:pPr>
              <w:widowControl/>
              <w:jc w:val="center"/>
              <w:rPr>
                <w:rFonts w:ascii="Times New Roman" w:hAnsi="Times New Roman" w:eastAsia="仿宋_GB2312"/>
                <w:color w:val="000000"/>
                <w:kern w:val="0"/>
                <w:szCs w:val="21"/>
              </w:rPr>
            </w:pP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2F1BDC50">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优化办公用房</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550710C9">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优化调整办公用房</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1ACE4613">
            <w:pPr>
              <w:widowControl/>
              <w:jc w:val="both"/>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整体优化</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6357D20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51460684">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3173B8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C422939">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BE1FD3">
            <w:pPr>
              <w:jc w:val="center"/>
              <w:rPr>
                <w:rFonts w:ascii="Times New Roman" w:hAnsi="Times New Roman" w:eastAsia="仿宋_GB2312"/>
                <w:color w:val="000000"/>
                <w:kern w:val="0"/>
                <w:szCs w:val="21"/>
              </w:rPr>
            </w:pPr>
          </w:p>
        </w:tc>
        <w:tc>
          <w:tcPr>
            <w:tcW w:w="980" w:type="dxa"/>
            <w:vMerge w:val="continue"/>
            <w:tcBorders>
              <w:top w:val="single" w:color="auto" w:sz="4" w:space="0"/>
              <w:left w:val="nil"/>
              <w:bottom w:val="single" w:color="auto" w:sz="4" w:space="0"/>
              <w:right w:val="single" w:color="auto" w:sz="4" w:space="0"/>
            </w:tcBorders>
            <w:shd w:val="clear" w:color="auto" w:fill="auto"/>
            <w:noWrap/>
            <w:vAlign w:val="center"/>
          </w:tcPr>
          <w:p w14:paraId="457124AA">
            <w:pPr>
              <w:jc w:val="left"/>
              <w:rPr>
                <w:rFonts w:ascii="Times New Roman" w:hAnsi="Times New Roman" w:eastAsia="仿宋_GB2312"/>
                <w:color w:val="000000"/>
                <w:kern w:val="0"/>
                <w:szCs w:val="21"/>
              </w:rPr>
            </w:pPr>
          </w:p>
        </w:tc>
        <w:tc>
          <w:tcPr>
            <w:tcW w:w="1065" w:type="dxa"/>
            <w:vMerge w:val="continue"/>
            <w:tcBorders>
              <w:top w:val="single" w:color="auto" w:sz="4" w:space="0"/>
              <w:left w:val="nil"/>
              <w:bottom w:val="single" w:color="auto" w:sz="4" w:space="0"/>
              <w:right w:val="single" w:color="auto" w:sz="4" w:space="0"/>
            </w:tcBorders>
            <w:shd w:val="clear" w:color="auto" w:fill="auto"/>
            <w:noWrap/>
            <w:vAlign w:val="center"/>
          </w:tcPr>
          <w:p w14:paraId="5DA18D2B">
            <w:pPr>
              <w:widowControl/>
              <w:jc w:val="center"/>
              <w:rPr>
                <w:rFonts w:ascii="Times New Roman" w:hAnsi="Times New Roman" w:eastAsia="仿宋_GB2312"/>
                <w:color w:val="000000"/>
                <w:kern w:val="0"/>
                <w:szCs w:val="21"/>
              </w:rPr>
            </w:pP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16A9C98C">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节能统计差错情况</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17E18AB6">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统计不出现错漏情</w:t>
            </w:r>
            <w:r>
              <w:rPr>
                <w:rFonts w:hint="eastAsia" w:ascii="仿宋_GB2312" w:hAnsi="仿宋_GB2312" w:eastAsia="仿宋_GB2312" w:cs="仿宋_GB2312"/>
                <w:kern w:val="0"/>
                <w:sz w:val="21"/>
                <w:szCs w:val="21"/>
                <w:lang w:val="en-US" w:eastAsia="zh-CN"/>
              </w:rPr>
              <w:t>况</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37E2B8CA">
            <w:pPr>
              <w:widowControl/>
              <w:jc w:val="both"/>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无错漏情况</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6495BA9F">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6239F7BD">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31CE2E15">
            <w:pPr>
              <w:widowControl/>
              <w:jc w:val="left"/>
              <w:rPr>
                <w:rFonts w:ascii="Times New Roman" w:hAnsi="Times New Roman" w:eastAsia="仿宋_GB2312"/>
                <w:color w:val="000000"/>
                <w:kern w:val="0"/>
                <w:szCs w:val="21"/>
              </w:rPr>
            </w:pPr>
          </w:p>
        </w:tc>
      </w:tr>
      <w:tr w14:paraId="6D0CA0C7">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9C1634">
            <w:pPr>
              <w:jc w:val="center"/>
              <w:rPr>
                <w:rFonts w:ascii="Times New Roman" w:hAnsi="Times New Roman" w:eastAsia="仿宋_GB2312"/>
                <w:color w:val="000000"/>
                <w:kern w:val="0"/>
                <w:szCs w:val="21"/>
              </w:rPr>
            </w:pPr>
          </w:p>
        </w:tc>
        <w:tc>
          <w:tcPr>
            <w:tcW w:w="980" w:type="dxa"/>
            <w:vMerge w:val="continue"/>
            <w:tcBorders>
              <w:top w:val="single" w:color="auto" w:sz="4" w:space="0"/>
              <w:left w:val="nil"/>
              <w:bottom w:val="single" w:color="auto" w:sz="4" w:space="0"/>
              <w:right w:val="single" w:color="auto" w:sz="4" w:space="0"/>
            </w:tcBorders>
            <w:shd w:val="clear" w:color="auto" w:fill="auto"/>
            <w:noWrap/>
            <w:vAlign w:val="center"/>
          </w:tcPr>
          <w:p w14:paraId="4DECB702">
            <w:pPr>
              <w:jc w:val="left"/>
              <w:rPr>
                <w:rFonts w:ascii="Times New Roman" w:hAnsi="Times New Roman" w:eastAsia="仿宋_GB2312"/>
                <w:color w:val="000000"/>
                <w:kern w:val="0"/>
                <w:szCs w:val="21"/>
              </w:rPr>
            </w:pPr>
          </w:p>
        </w:tc>
        <w:tc>
          <w:tcPr>
            <w:tcW w:w="1065" w:type="dxa"/>
            <w:vMerge w:val="continue"/>
            <w:tcBorders>
              <w:top w:val="single" w:color="auto" w:sz="4" w:space="0"/>
              <w:left w:val="nil"/>
              <w:bottom w:val="single" w:color="auto" w:sz="4" w:space="0"/>
              <w:right w:val="single" w:color="auto" w:sz="4" w:space="0"/>
            </w:tcBorders>
            <w:shd w:val="clear" w:color="auto" w:fill="auto"/>
            <w:noWrap/>
            <w:vAlign w:val="center"/>
          </w:tcPr>
          <w:p w14:paraId="2566B553">
            <w:pPr>
              <w:widowControl/>
              <w:jc w:val="left"/>
              <w:rPr>
                <w:rFonts w:ascii="Times New Roman" w:hAnsi="Times New Roman" w:eastAsia="仿宋_GB2312"/>
                <w:color w:val="000000"/>
                <w:kern w:val="0"/>
                <w:szCs w:val="21"/>
              </w:rPr>
            </w:pP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1773B13A">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投诉处理</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652F5680">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投诉同比减少，处理量同比增长</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71F54AF2">
            <w:pPr>
              <w:widowControl/>
              <w:jc w:val="both"/>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无投诉</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695B75D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521949C3">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0DB88B35">
            <w:pPr>
              <w:widowControl/>
              <w:jc w:val="left"/>
              <w:rPr>
                <w:rFonts w:ascii="Times New Roman" w:hAnsi="Times New Roman" w:eastAsia="仿宋_GB2312"/>
                <w:color w:val="000000"/>
                <w:kern w:val="0"/>
                <w:szCs w:val="21"/>
              </w:rPr>
            </w:pPr>
          </w:p>
        </w:tc>
      </w:tr>
      <w:tr w14:paraId="300AE001">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C1CFC7">
            <w:pPr>
              <w:jc w:val="center"/>
              <w:rPr>
                <w:rFonts w:ascii="Times New Roman" w:hAnsi="Times New Roman" w:eastAsia="仿宋_GB2312"/>
                <w:color w:val="000000"/>
                <w:kern w:val="0"/>
                <w:szCs w:val="21"/>
              </w:rPr>
            </w:pPr>
          </w:p>
        </w:tc>
        <w:tc>
          <w:tcPr>
            <w:tcW w:w="980" w:type="dxa"/>
            <w:vMerge w:val="continue"/>
            <w:tcBorders>
              <w:top w:val="single" w:color="auto" w:sz="4" w:space="0"/>
              <w:left w:val="nil"/>
              <w:bottom w:val="single" w:color="auto" w:sz="4" w:space="0"/>
              <w:right w:val="single" w:color="auto" w:sz="4" w:space="0"/>
            </w:tcBorders>
            <w:shd w:val="clear" w:color="auto" w:fill="auto"/>
            <w:noWrap/>
            <w:vAlign w:val="center"/>
          </w:tcPr>
          <w:p w14:paraId="641AF671">
            <w:pPr>
              <w:jc w:val="left"/>
              <w:rPr>
                <w:rFonts w:ascii="Times New Roman" w:hAnsi="Times New Roman" w:eastAsia="仿宋_GB2312"/>
                <w:color w:val="000000"/>
                <w:kern w:val="0"/>
                <w:szCs w:val="21"/>
              </w:rPr>
            </w:pPr>
          </w:p>
        </w:tc>
        <w:tc>
          <w:tcPr>
            <w:tcW w:w="1065" w:type="dxa"/>
            <w:tcBorders>
              <w:top w:val="single" w:color="auto" w:sz="4" w:space="0"/>
              <w:left w:val="nil"/>
              <w:bottom w:val="single" w:color="auto" w:sz="4" w:space="0"/>
              <w:right w:val="single" w:color="auto" w:sz="4" w:space="0"/>
            </w:tcBorders>
            <w:shd w:val="clear" w:color="auto" w:fill="auto"/>
            <w:noWrap/>
            <w:vAlign w:val="center"/>
          </w:tcPr>
          <w:p w14:paraId="023E4E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3792E9B0">
            <w:pPr>
              <w:widowControl/>
              <w:jc w:val="both"/>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kern w:val="0"/>
                <w:sz w:val="21"/>
                <w:szCs w:val="21"/>
              </w:rPr>
              <w:t>完成时间</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4A0392EF">
            <w:pPr>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202</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年12月前</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7231480F">
            <w:pPr>
              <w:widowControl/>
              <w:jc w:val="both"/>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0FD1FCEC">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15961BEB">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5FB363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A3C476F">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D939E1">
            <w:pPr>
              <w:jc w:val="center"/>
              <w:rPr>
                <w:rFonts w:ascii="Times New Roman" w:hAnsi="Times New Roman" w:eastAsia="仿宋_GB2312"/>
                <w:color w:val="000000"/>
                <w:kern w:val="0"/>
                <w:szCs w:val="21"/>
              </w:rPr>
            </w:pPr>
          </w:p>
        </w:tc>
        <w:tc>
          <w:tcPr>
            <w:tcW w:w="980" w:type="dxa"/>
            <w:vMerge w:val="continue"/>
            <w:tcBorders>
              <w:top w:val="single" w:color="auto" w:sz="4" w:space="0"/>
              <w:left w:val="nil"/>
              <w:bottom w:val="single" w:color="auto" w:sz="4" w:space="0"/>
              <w:right w:val="single" w:color="auto" w:sz="4" w:space="0"/>
            </w:tcBorders>
            <w:shd w:val="clear" w:color="auto" w:fill="auto"/>
            <w:noWrap/>
            <w:vAlign w:val="center"/>
          </w:tcPr>
          <w:p w14:paraId="30AA03A0">
            <w:pPr>
              <w:jc w:val="left"/>
              <w:rPr>
                <w:rFonts w:ascii="Times New Roman" w:hAnsi="Times New Roman" w:eastAsia="仿宋_GB2312"/>
                <w:color w:val="000000"/>
                <w:kern w:val="0"/>
                <w:szCs w:val="21"/>
              </w:rPr>
            </w:pPr>
          </w:p>
        </w:tc>
        <w:tc>
          <w:tcPr>
            <w:tcW w:w="1065" w:type="dxa"/>
            <w:tcBorders>
              <w:top w:val="single" w:color="auto" w:sz="4" w:space="0"/>
              <w:left w:val="nil"/>
              <w:bottom w:val="single" w:color="auto" w:sz="4" w:space="0"/>
              <w:right w:val="single" w:color="auto" w:sz="4" w:space="0"/>
            </w:tcBorders>
            <w:shd w:val="clear" w:color="auto" w:fill="auto"/>
            <w:noWrap/>
            <w:vAlign w:val="center"/>
          </w:tcPr>
          <w:p w14:paraId="4B7FA7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0F834693">
            <w:pPr>
              <w:widowControl/>
              <w:jc w:val="both"/>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kern w:val="0"/>
                <w:sz w:val="21"/>
                <w:szCs w:val="21"/>
              </w:rPr>
              <w:t>成本控制</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235CF2F9">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成本控制在预算范围内</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125F706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shd w:val="clear"/>
                <w:lang w:val="en-US" w:eastAsia="zh-CN"/>
              </w:rPr>
              <w:t>900万元</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4AF930FA">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344A7793">
            <w:pPr>
              <w:widowControl/>
              <w:jc w:val="center"/>
              <w:rPr>
                <w:rFonts w:hint="default" w:ascii="Times New Roman" w:hAnsi="Times New Roman" w:eastAsia="仿宋_GB2312" w:cs="Times New Roman"/>
                <w:color w:val="000000"/>
                <w:kern w:val="0"/>
                <w:sz w:val="21"/>
                <w:szCs w:val="21"/>
                <w:lang w:val="en" w:eastAsia="zh-CN" w:bidi="ar-SA"/>
              </w:rPr>
            </w:pPr>
            <w:r>
              <w:rPr>
                <w:rFonts w:hint="default" w:ascii="Times New Roman" w:hAnsi="Times New Roman" w:eastAsia="仿宋_GB2312"/>
                <w:color w:val="000000"/>
                <w:kern w:val="0"/>
                <w:szCs w:val="21"/>
                <w:lang w:val="en" w:eastAsia="zh-CN"/>
              </w:rPr>
              <w:t>4</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63B03D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EDC3B4C">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847475">
            <w:pPr>
              <w:jc w:val="center"/>
              <w:rPr>
                <w:rFonts w:ascii="Times New Roman" w:hAnsi="Times New Roman" w:eastAsia="仿宋_GB2312"/>
                <w:color w:val="000000"/>
                <w:kern w:val="0"/>
                <w:szCs w:val="21"/>
              </w:rPr>
            </w:pPr>
          </w:p>
        </w:tc>
        <w:tc>
          <w:tcPr>
            <w:tcW w:w="980" w:type="dxa"/>
            <w:vMerge w:val="restart"/>
            <w:tcBorders>
              <w:top w:val="single" w:color="auto" w:sz="4" w:space="0"/>
              <w:left w:val="nil"/>
              <w:right w:val="single" w:color="auto" w:sz="4" w:space="0"/>
            </w:tcBorders>
            <w:shd w:val="clear" w:color="auto" w:fill="auto"/>
            <w:noWrap/>
            <w:vAlign w:val="center"/>
          </w:tcPr>
          <w:p w14:paraId="7BF135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071E04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5610DBA">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lang w:val="en-US" w:eastAsia="zh-CN"/>
              </w:rPr>
              <w:t>40</w:t>
            </w:r>
            <w:r>
              <w:rPr>
                <w:rFonts w:ascii="Times New Roman" w:hAnsi="Times New Roman" w:eastAsia="仿宋_GB2312"/>
                <w:color w:val="000000"/>
                <w:kern w:val="0"/>
                <w:szCs w:val="21"/>
              </w:rPr>
              <w:t>分）</w:t>
            </w:r>
          </w:p>
          <w:p w14:paraId="5DDA39DD">
            <w:pPr>
              <w:jc w:val="left"/>
              <w:rPr>
                <w:rFonts w:ascii="Times New Roman" w:hAnsi="Times New Roman" w:eastAsia="仿宋_GB2312"/>
                <w:color w:val="000000"/>
                <w:kern w:val="0"/>
                <w:szCs w:val="21"/>
              </w:rPr>
            </w:pPr>
          </w:p>
          <w:p w14:paraId="5D5DE33C">
            <w:pPr>
              <w:widowControl/>
              <w:rPr>
                <w:rFonts w:ascii="Times New Roman" w:hAnsi="Times New Roman" w:eastAsia="仿宋_GB2312"/>
                <w:color w:val="000000"/>
                <w:kern w:val="0"/>
                <w:szCs w:val="21"/>
              </w:rPr>
            </w:pPr>
          </w:p>
        </w:tc>
        <w:tc>
          <w:tcPr>
            <w:tcW w:w="1065" w:type="dxa"/>
            <w:tcBorders>
              <w:top w:val="single" w:color="auto" w:sz="4" w:space="0"/>
              <w:left w:val="nil"/>
              <w:bottom w:val="single" w:color="auto" w:sz="4" w:space="0"/>
              <w:right w:val="single" w:color="auto" w:sz="4" w:space="0"/>
            </w:tcBorders>
            <w:shd w:val="clear" w:color="auto" w:fill="auto"/>
            <w:noWrap/>
            <w:vAlign w:val="center"/>
          </w:tcPr>
          <w:p w14:paraId="36E67E3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5F4F6B9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772996D6">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依法管理国有资产</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4F771176">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对全市国有资产进行摸底清查</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73D296A6">
            <w:pPr>
              <w:widowControl/>
              <w:jc w:val="both"/>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全部清查完毕</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3B3C47F2">
            <w:pPr>
              <w:widowControl/>
              <w:jc w:val="left"/>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689CE5C7">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0EF12F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48BB30E">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17ED02">
            <w:pPr>
              <w:jc w:val="center"/>
              <w:rPr>
                <w:rFonts w:ascii="Times New Roman" w:hAnsi="Times New Roman" w:eastAsia="仿宋_GB2312"/>
                <w:color w:val="000000"/>
                <w:kern w:val="0"/>
                <w:szCs w:val="21"/>
              </w:rPr>
            </w:pPr>
          </w:p>
        </w:tc>
        <w:tc>
          <w:tcPr>
            <w:tcW w:w="980" w:type="dxa"/>
            <w:vMerge w:val="continue"/>
            <w:tcBorders>
              <w:left w:val="nil"/>
              <w:right w:val="single" w:color="auto" w:sz="4" w:space="0"/>
            </w:tcBorders>
            <w:shd w:val="clear" w:color="auto" w:fill="auto"/>
            <w:noWrap/>
            <w:vAlign w:val="center"/>
          </w:tcPr>
          <w:p w14:paraId="4EAD809E">
            <w:pPr>
              <w:jc w:val="left"/>
              <w:rPr>
                <w:rFonts w:ascii="Times New Roman" w:hAnsi="Times New Roman" w:eastAsia="仿宋_GB2312"/>
                <w:color w:val="000000"/>
                <w:kern w:val="0"/>
                <w:szCs w:val="21"/>
              </w:rPr>
            </w:pPr>
          </w:p>
        </w:tc>
        <w:tc>
          <w:tcPr>
            <w:tcW w:w="1065" w:type="dxa"/>
            <w:tcBorders>
              <w:top w:val="single" w:color="auto" w:sz="4" w:space="0"/>
              <w:left w:val="nil"/>
              <w:bottom w:val="single" w:color="auto" w:sz="4" w:space="0"/>
              <w:right w:val="single" w:color="auto" w:sz="4" w:space="0"/>
            </w:tcBorders>
            <w:shd w:val="clear" w:color="auto" w:fill="auto"/>
            <w:noWrap/>
            <w:vAlign w:val="center"/>
          </w:tcPr>
          <w:p w14:paraId="3602B4F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079C8FD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3E7D2F5D">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降低机关运行成本</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4BD2F5DA">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提升办公环境，做好公车调度，提高行政效率</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729D649F">
            <w:pPr>
              <w:widowControl/>
              <w:jc w:val="both"/>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706" w:type="dxa"/>
            <w:tcBorders>
              <w:top w:val="single" w:color="auto" w:sz="4" w:space="0"/>
              <w:left w:val="nil"/>
              <w:bottom w:val="single" w:color="auto" w:sz="4" w:space="0"/>
              <w:right w:val="single" w:color="auto" w:sz="4" w:space="0"/>
            </w:tcBorders>
            <w:shd w:val="clear" w:color="auto" w:fill="auto"/>
            <w:noWrap/>
            <w:vAlign w:val="center"/>
          </w:tcPr>
          <w:p w14:paraId="37DEF067">
            <w:pPr>
              <w:widowControl/>
              <w:jc w:val="left"/>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7C092CAB">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1C5886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8CF9366">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DEBEFA">
            <w:pPr>
              <w:jc w:val="center"/>
              <w:rPr>
                <w:rFonts w:ascii="Times New Roman" w:hAnsi="Times New Roman" w:eastAsia="仿宋_GB2312"/>
                <w:color w:val="000000"/>
                <w:kern w:val="0"/>
                <w:szCs w:val="21"/>
              </w:rPr>
            </w:pPr>
          </w:p>
        </w:tc>
        <w:tc>
          <w:tcPr>
            <w:tcW w:w="980" w:type="dxa"/>
            <w:vMerge w:val="continue"/>
            <w:tcBorders>
              <w:left w:val="nil"/>
              <w:right w:val="single" w:color="auto" w:sz="4" w:space="0"/>
            </w:tcBorders>
            <w:shd w:val="clear" w:color="auto" w:fill="auto"/>
            <w:noWrap/>
            <w:vAlign w:val="center"/>
          </w:tcPr>
          <w:p w14:paraId="1F86BA9E">
            <w:pPr>
              <w:jc w:val="left"/>
              <w:rPr>
                <w:rFonts w:ascii="Times New Roman" w:hAnsi="Times New Roman" w:eastAsia="仿宋_GB2312"/>
                <w:color w:val="000000"/>
                <w:kern w:val="0"/>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2E17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FCBFA6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E3087">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节约水电气，降低能耗</w:t>
            </w:r>
          </w:p>
        </w:tc>
        <w:tc>
          <w:tcPr>
            <w:tcW w:w="13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3BC14">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全市公共机构事业单位人均能耗同比下降1%；水耗下降1%，单位建筑面积能耗同比下降1%。</w:t>
            </w: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4B22A7">
            <w:pPr>
              <w:widowControl/>
              <w:jc w:val="both"/>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14E44">
            <w:pPr>
              <w:widowControl/>
              <w:jc w:val="left"/>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4C80F399">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34" w:type="dxa"/>
            <w:gridSpan w:val="2"/>
            <w:tcBorders>
              <w:top w:val="single" w:color="auto" w:sz="4" w:space="0"/>
              <w:left w:val="nil"/>
              <w:bottom w:val="single" w:color="auto" w:sz="4" w:space="0"/>
              <w:right w:val="single" w:color="auto" w:sz="4" w:space="0"/>
            </w:tcBorders>
            <w:shd w:val="clear" w:color="auto" w:fill="auto"/>
            <w:noWrap/>
            <w:vAlign w:val="center"/>
          </w:tcPr>
          <w:p w14:paraId="6C72F3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80BD3F3">
        <w:tblPrEx>
          <w:tblCellMar>
            <w:top w:w="0" w:type="dxa"/>
            <w:left w:w="108" w:type="dxa"/>
            <w:bottom w:w="0" w:type="dxa"/>
            <w:right w:w="108" w:type="dxa"/>
          </w:tblCellMar>
        </w:tblPrEx>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6B6AE1">
            <w:pPr>
              <w:widowControl/>
              <w:jc w:val="center"/>
              <w:rPr>
                <w:rFonts w:ascii="Times New Roman" w:hAnsi="Times New Roman" w:eastAsia="仿宋_GB2312"/>
                <w:color w:val="000000"/>
                <w:kern w:val="0"/>
                <w:szCs w:val="21"/>
              </w:rPr>
            </w:pPr>
          </w:p>
        </w:tc>
        <w:tc>
          <w:tcPr>
            <w:tcW w:w="980" w:type="dxa"/>
            <w:vMerge w:val="continue"/>
            <w:tcBorders>
              <w:left w:val="nil"/>
              <w:right w:val="single" w:color="auto" w:sz="4" w:space="0"/>
            </w:tcBorders>
            <w:shd w:val="clear" w:color="auto" w:fill="auto"/>
            <w:noWrap/>
            <w:vAlign w:val="center"/>
          </w:tcPr>
          <w:p w14:paraId="685C0EE1">
            <w:pPr>
              <w:widowControl/>
              <w:jc w:val="left"/>
              <w:rPr>
                <w:rFonts w:ascii="Times New Roman" w:hAnsi="Times New Roman" w:eastAsia="仿宋_GB2312"/>
                <w:color w:val="000000"/>
                <w:kern w:val="0"/>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4CB6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C9F17">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持续服务</w:t>
            </w:r>
          </w:p>
        </w:tc>
        <w:tc>
          <w:tcPr>
            <w:tcW w:w="13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5B7D8">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 xml:space="preserve">  全年稳定为全市市直机关单位提供优质服务</w:t>
            </w: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BAAD2E">
            <w:pPr>
              <w:widowControl/>
              <w:jc w:val="both"/>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EFF30">
            <w:pPr>
              <w:widowControl/>
              <w:jc w:val="left"/>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DBFCE">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C3B2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2D8CD14">
        <w:trPr>
          <w:trHeight w:val="90"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83CFBD">
            <w:pPr>
              <w:jc w:val="left"/>
              <w:rPr>
                <w:rFonts w:ascii="Times New Roman" w:hAnsi="Times New Roman" w:eastAsia="仿宋_GB2312"/>
                <w:color w:val="000000"/>
                <w:kern w:val="0"/>
                <w:szCs w:val="21"/>
              </w:rPr>
            </w:pPr>
          </w:p>
        </w:tc>
        <w:tc>
          <w:tcPr>
            <w:tcW w:w="980" w:type="dxa"/>
            <w:vMerge w:val="continue"/>
            <w:tcBorders>
              <w:left w:val="nil"/>
              <w:right w:val="single" w:color="auto" w:sz="4" w:space="0"/>
            </w:tcBorders>
            <w:shd w:val="clear" w:color="auto" w:fill="auto"/>
            <w:noWrap/>
            <w:vAlign w:val="center"/>
          </w:tcPr>
          <w:p w14:paraId="1E90097F">
            <w:pPr>
              <w:widowControl/>
              <w:jc w:val="center"/>
              <w:rPr>
                <w:rFonts w:ascii="Times New Roman" w:hAnsi="Times New Roman" w:eastAsia="仿宋_GB2312"/>
                <w:color w:val="000000"/>
                <w:kern w:val="0"/>
                <w:szCs w:val="21"/>
              </w:rPr>
            </w:pPr>
          </w:p>
        </w:tc>
        <w:tc>
          <w:tcPr>
            <w:tcW w:w="1065" w:type="dxa"/>
            <w:tcBorders>
              <w:top w:val="single" w:color="auto" w:sz="4" w:space="0"/>
              <w:left w:val="nil"/>
              <w:right w:val="single" w:color="auto" w:sz="4" w:space="0"/>
            </w:tcBorders>
            <w:shd w:val="clear" w:color="auto" w:fill="auto"/>
            <w:noWrap/>
            <w:vAlign w:val="center"/>
          </w:tcPr>
          <w:p w14:paraId="195678A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04A35C87">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全市机关事业单位</w:t>
            </w:r>
          </w:p>
        </w:tc>
        <w:tc>
          <w:tcPr>
            <w:tcW w:w="1379" w:type="dxa"/>
            <w:tcBorders>
              <w:top w:val="nil"/>
              <w:left w:val="nil"/>
              <w:bottom w:val="single" w:color="auto" w:sz="4" w:space="0"/>
              <w:right w:val="single" w:color="auto" w:sz="4" w:space="0"/>
            </w:tcBorders>
            <w:shd w:val="clear" w:color="auto" w:fill="auto"/>
            <w:noWrap/>
            <w:vAlign w:val="center"/>
          </w:tcPr>
          <w:p w14:paraId="670D8F1E">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服务对象满意率达到95%以上</w:t>
            </w:r>
          </w:p>
        </w:tc>
        <w:tc>
          <w:tcPr>
            <w:tcW w:w="1195" w:type="dxa"/>
            <w:gridSpan w:val="2"/>
            <w:tcBorders>
              <w:top w:val="nil"/>
              <w:left w:val="nil"/>
              <w:bottom w:val="single" w:color="auto" w:sz="4" w:space="0"/>
              <w:right w:val="single" w:color="auto" w:sz="4" w:space="0"/>
            </w:tcBorders>
            <w:shd w:val="clear" w:color="auto" w:fill="auto"/>
            <w:noWrap/>
            <w:vAlign w:val="center"/>
          </w:tcPr>
          <w:p w14:paraId="187A9E6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706" w:type="dxa"/>
            <w:tcBorders>
              <w:top w:val="nil"/>
              <w:left w:val="nil"/>
              <w:bottom w:val="single" w:color="auto" w:sz="4" w:space="0"/>
              <w:right w:val="single" w:color="auto" w:sz="4" w:space="0"/>
            </w:tcBorders>
            <w:shd w:val="clear" w:color="auto" w:fill="auto"/>
            <w:noWrap/>
            <w:vAlign w:val="center"/>
          </w:tcPr>
          <w:p w14:paraId="0A0E793C">
            <w:pPr>
              <w:widowControl/>
              <w:jc w:val="left"/>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734" w:type="dxa"/>
            <w:tcBorders>
              <w:top w:val="nil"/>
              <w:left w:val="nil"/>
              <w:bottom w:val="single" w:color="auto" w:sz="4" w:space="0"/>
              <w:right w:val="single" w:color="auto" w:sz="4" w:space="0"/>
            </w:tcBorders>
            <w:shd w:val="clear" w:color="auto" w:fill="auto"/>
            <w:noWrap/>
            <w:vAlign w:val="center"/>
          </w:tcPr>
          <w:p w14:paraId="7B3B1F01">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34" w:type="dxa"/>
            <w:gridSpan w:val="2"/>
            <w:tcBorders>
              <w:top w:val="nil"/>
              <w:left w:val="nil"/>
              <w:bottom w:val="single" w:color="auto" w:sz="4" w:space="0"/>
              <w:right w:val="single" w:color="auto" w:sz="4" w:space="0"/>
            </w:tcBorders>
            <w:shd w:val="clear" w:color="auto" w:fill="auto"/>
            <w:noWrap/>
            <w:vAlign w:val="center"/>
          </w:tcPr>
          <w:p w14:paraId="26BB73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779187F">
        <w:tblPrEx>
          <w:tblCellMar>
            <w:top w:w="0" w:type="dxa"/>
            <w:left w:w="108" w:type="dxa"/>
            <w:bottom w:w="0" w:type="dxa"/>
            <w:right w:w="108" w:type="dxa"/>
          </w:tblCellMar>
        </w:tblPrEx>
        <w:trPr>
          <w:trHeight w:val="90" w:hRule="atLeast"/>
          <w:jc w:val="center"/>
        </w:trPr>
        <w:tc>
          <w:tcPr>
            <w:tcW w:w="700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3A62D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总分</w:t>
            </w:r>
          </w:p>
        </w:tc>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2FA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6DA6D">
            <w:pPr>
              <w:widowControl/>
              <w:jc w:val="center"/>
              <w:rPr>
                <w:rFonts w:hint="default" w:ascii="Times New Roman" w:hAnsi="Times New Roman" w:eastAsia="仿宋_GB2312"/>
                <w:color w:val="000000"/>
                <w:kern w:val="0"/>
                <w:szCs w:val="21"/>
                <w:lang w:val="en" w:eastAsia="zh-CN"/>
              </w:rPr>
            </w:pPr>
            <w:r>
              <w:rPr>
                <w:rFonts w:hint="default" w:ascii="Times New Roman" w:hAnsi="Times New Roman" w:eastAsia="仿宋_GB2312"/>
                <w:color w:val="000000"/>
                <w:kern w:val="0"/>
                <w:szCs w:val="21"/>
                <w:lang w:val="en" w:eastAsia="zh-CN"/>
              </w:rPr>
              <w:t>99</w:t>
            </w:r>
          </w:p>
        </w:tc>
        <w:tc>
          <w:tcPr>
            <w:tcW w:w="12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1397FE">
            <w:pPr>
              <w:widowControl/>
              <w:jc w:val="left"/>
              <w:rPr>
                <w:rFonts w:ascii="Times New Roman" w:hAnsi="Times New Roman" w:eastAsia="仿宋_GB2312"/>
                <w:color w:val="000000"/>
                <w:kern w:val="0"/>
                <w:szCs w:val="21"/>
              </w:rPr>
            </w:pPr>
          </w:p>
        </w:tc>
      </w:tr>
    </w:tbl>
    <w:p w14:paraId="000C38E2">
      <w:pPr>
        <w:spacing w:beforeLines="50"/>
        <w:rPr>
          <w:rFonts w:ascii="Times New Roman" w:hAnsi="Times New Roman" w:eastAsia="仿宋_GB2312"/>
          <w:sz w:val="24"/>
        </w:rPr>
      </w:pPr>
    </w:p>
    <w:p w14:paraId="3221DC9B">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val="en-US" w:eastAsia="zh-CN"/>
        </w:rPr>
        <w:t>曹雨</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2023.4.6</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13975480164</w:t>
      </w:r>
      <w:r>
        <w:rPr>
          <w:rFonts w:ascii="Times New Roman" w:hAnsi="Times New Roman" w:eastAsia="仿宋_GB2312"/>
          <w:sz w:val="24"/>
        </w:rPr>
        <w:t xml:space="preserve"> 单位负责人签字：</w:t>
      </w:r>
    </w:p>
    <w:p w14:paraId="117E8BF3">
      <w:pPr>
        <w:rPr>
          <w:rFonts w:ascii="Times New Roman" w:hAnsi="Times New Roman" w:eastAsia="黑体"/>
          <w:sz w:val="32"/>
          <w:szCs w:val="32"/>
        </w:rPr>
      </w:pPr>
    </w:p>
    <w:p w14:paraId="2D386F6F">
      <w:pPr>
        <w:rPr>
          <w:rFonts w:ascii="Times New Roman" w:hAnsi="Times New Roman" w:eastAsia="黑体"/>
        </w:rPr>
      </w:pPr>
    </w:p>
    <w:p w14:paraId="33D6FDB4">
      <w:pPr>
        <w:pStyle w:val="15"/>
        <w:rPr>
          <w:rFonts w:ascii="Times New Roman" w:hAnsi="Times New Roman" w:eastAsia="黑体"/>
        </w:rPr>
      </w:pPr>
    </w:p>
    <w:p w14:paraId="35B1ECA1">
      <w:pPr>
        <w:pStyle w:val="15"/>
        <w:rPr>
          <w:rFonts w:ascii="Times New Roman" w:hAnsi="Times New Roman" w:eastAsia="黑体"/>
        </w:rPr>
      </w:pPr>
    </w:p>
    <w:p w14:paraId="3D8F3118">
      <w:pPr>
        <w:pStyle w:val="15"/>
        <w:rPr>
          <w:rFonts w:ascii="Times New Roman" w:hAnsi="Times New Roman" w:eastAsia="黑体"/>
        </w:rPr>
      </w:pPr>
    </w:p>
    <w:p w14:paraId="5F74D477">
      <w:pPr>
        <w:pStyle w:val="15"/>
        <w:rPr>
          <w:rFonts w:ascii="Times New Roman" w:hAnsi="Times New Roman" w:eastAsia="黑体"/>
        </w:rPr>
      </w:pPr>
    </w:p>
    <w:tbl>
      <w:tblPr>
        <w:tblStyle w:val="11"/>
        <w:tblW w:w="10113"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969"/>
        <w:gridCol w:w="1271"/>
      </w:tblGrid>
      <w:tr w14:paraId="219256E8">
        <w:tblPrEx>
          <w:tblCellMar>
            <w:top w:w="0" w:type="dxa"/>
            <w:left w:w="108" w:type="dxa"/>
            <w:bottom w:w="0" w:type="dxa"/>
            <w:right w:w="108" w:type="dxa"/>
          </w:tblCellMar>
        </w:tblPrEx>
        <w:trPr>
          <w:trHeight w:val="690" w:hRule="atLeast"/>
          <w:jc w:val="center"/>
        </w:trPr>
        <w:tc>
          <w:tcPr>
            <w:tcW w:w="10113" w:type="dxa"/>
            <w:gridSpan w:val="9"/>
            <w:tcBorders>
              <w:top w:val="nil"/>
              <w:left w:val="nil"/>
              <w:bottom w:val="nil"/>
              <w:right w:val="nil"/>
            </w:tcBorders>
            <w:shd w:val="clear" w:color="auto" w:fill="auto"/>
            <w:noWrap/>
            <w:vAlign w:val="center"/>
          </w:tcPr>
          <w:p w14:paraId="1BE0043F">
            <w:pPr>
              <w:ind w:right="640"/>
              <w:jc w:val="both"/>
              <w:rPr>
                <w:rFonts w:hint="eastAsia" w:ascii="方正小标宋简体" w:hAnsi="方正小标宋简体" w:eastAsia="方正小标宋简体" w:cs="方正小标宋简体"/>
                <w:color w:val="000000"/>
                <w:kern w:val="0"/>
                <w:sz w:val="36"/>
                <w:szCs w:val="36"/>
              </w:rPr>
            </w:pPr>
            <w:r>
              <w:rPr>
                <w:rFonts w:hint="eastAsia" w:ascii="宋体" w:hAnsi="宋体" w:eastAsia="宋体" w:cs="宋体"/>
                <w:sz w:val="24"/>
                <w:szCs w:val="24"/>
                <w:lang w:val="en-US" w:eastAsia="zh-CN"/>
              </w:rPr>
              <w:t>附件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p>
          <w:p w14:paraId="03E7FE33">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2A57C230">
        <w:tblPrEx>
          <w:tblCellMar>
            <w:top w:w="0" w:type="dxa"/>
            <w:left w:w="108" w:type="dxa"/>
            <w:bottom w:w="0" w:type="dxa"/>
            <w:right w:w="108" w:type="dxa"/>
          </w:tblCellMar>
        </w:tblPrEx>
        <w:trPr>
          <w:trHeight w:val="270" w:hRule="atLeast"/>
          <w:jc w:val="center"/>
        </w:trPr>
        <w:tc>
          <w:tcPr>
            <w:tcW w:w="10113" w:type="dxa"/>
            <w:gridSpan w:val="9"/>
            <w:tcBorders>
              <w:top w:val="nil"/>
              <w:left w:val="nil"/>
              <w:bottom w:val="single" w:color="auto" w:sz="4" w:space="0"/>
              <w:right w:val="nil"/>
            </w:tcBorders>
            <w:shd w:val="clear" w:color="auto" w:fill="auto"/>
            <w:noWrap/>
            <w:vAlign w:val="center"/>
          </w:tcPr>
          <w:p w14:paraId="4AC25527">
            <w:pPr>
              <w:widowControl/>
              <w:jc w:val="both"/>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lang w:val="en-US" w:eastAsia="zh-CN"/>
              </w:rPr>
              <w:t>衡阳市机关事务管理局</w:t>
            </w:r>
            <w:r>
              <w:rPr>
                <w:rFonts w:ascii="Times New Roman" w:hAnsi="Times New Roman"/>
                <w:color w:val="000000"/>
                <w:kern w:val="0"/>
                <w:sz w:val="22"/>
              </w:rPr>
              <w:t>（盖章）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5354C2A9">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E99D34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6013E73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978" w:type="dxa"/>
            <w:gridSpan w:val="8"/>
            <w:tcBorders>
              <w:top w:val="single" w:color="auto" w:sz="4" w:space="0"/>
              <w:left w:val="nil"/>
              <w:bottom w:val="single" w:color="auto" w:sz="4" w:space="0"/>
              <w:right w:val="single" w:color="000000" w:sz="4" w:space="0"/>
            </w:tcBorders>
            <w:shd w:val="clear" w:color="auto" w:fill="auto"/>
            <w:noWrap/>
            <w:vAlign w:val="center"/>
          </w:tcPr>
          <w:p w14:paraId="0818077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公务用车管理、公共机构节能、党政机关不动证产权办理</w:t>
            </w:r>
            <w:r>
              <w:rPr>
                <w:rFonts w:ascii="Times New Roman" w:hAnsi="Times New Roman" w:eastAsia="仿宋_GB2312"/>
                <w:color w:val="000000"/>
                <w:kern w:val="0"/>
                <w:szCs w:val="21"/>
              </w:rPr>
              <w:t>　</w:t>
            </w:r>
          </w:p>
        </w:tc>
      </w:tr>
      <w:tr w14:paraId="243EEF87">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4AEDF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3CE6369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衡阳市机关事务管理局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36150A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233" w:type="dxa"/>
            <w:gridSpan w:val="3"/>
            <w:tcBorders>
              <w:top w:val="single" w:color="auto" w:sz="4" w:space="0"/>
              <w:left w:val="nil"/>
              <w:bottom w:val="single" w:color="auto" w:sz="4" w:space="0"/>
              <w:right w:val="single" w:color="auto" w:sz="4" w:space="0"/>
            </w:tcBorders>
            <w:shd w:val="clear" w:color="auto" w:fill="auto"/>
            <w:noWrap/>
            <w:vAlign w:val="center"/>
          </w:tcPr>
          <w:p w14:paraId="4B5528D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衡阳市机关事务管理局</w:t>
            </w:r>
          </w:p>
        </w:tc>
      </w:tr>
      <w:tr w14:paraId="23A1AC1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FA8F5C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683EAF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23F3B0F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900C0B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AC473C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13D997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CE7573D">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77FA24AB">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755E61E8">
            <w:pPr>
              <w:spacing w:line="240" w:lineRule="exact"/>
              <w:jc w:val="center"/>
              <w:rPr>
                <w:rFonts w:ascii="Times New Roman" w:hAnsi="Times New Roman" w:eastAsia="仿宋_GB2312"/>
                <w:szCs w:val="21"/>
              </w:rPr>
            </w:pPr>
          </w:p>
          <w:p w14:paraId="35A09C09">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69" w:type="dxa"/>
            <w:tcBorders>
              <w:top w:val="nil"/>
              <w:left w:val="nil"/>
              <w:bottom w:val="single" w:color="auto" w:sz="4" w:space="0"/>
              <w:right w:val="single" w:color="auto" w:sz="4" w:space="0"/>
            </w:tcBorders>
            <w:shd w:val="clear" w:color="auto" w:fill="auto"/>
            <w:noWrap/>
          </w:tcPr>
          <w:p w14:paraId="2A077022">
            <w:pPr>
              <w:spacing w:line="240" w:lineRule="exact"/>
              <w:jc w:val="center"/>
              <w:rPr>
                <w:rFonts w:ascii="Times New Roman" w:hAnsi="Times New Roman" w:eastAsia="仿宋_GB2312"/>
                <w:szCs w:val="21"/>
              </w:rPr>
            </w:pPr>
          </w:p>
          <w:p w14:paraId="68A14E29">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1EC6DCE7">
            <w:pPr>
              <w:spacing w:line="240" w:lineRule="exact"/>
              <w:jc w:val="center"/>
              <w:rPr>
                <w:rFonts w:ascii="Times New Roman" w:hAnsi="Times New Roman" w:eastAsia="仿宋_GB2312"/>
                <w:szCs w:val="21"/>
              </w:rPr>
            </w:pPr>
          </w:p>
          <w:p w14:paraId="53A1E4C0">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0A3B433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CEB850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51AFC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6001C2F1">
            <w:pPr>
              <w:widowControl/>
              <w:jc w:val="center"/>
              <w:rPr>
                <w:rFonts w:hint="default"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81</w:t>
            </w:r>
          </w:p>
        </w:tc>
        <w:tc>
          <w:tcPr>
            <w:tcW w:w="1230" w:type="dxa"/>
            <w:tcBorders>
              <w:top w:val="nil"/>
              <w:left w:val="nil"/>
              <w:bottom w:val="single" w:color="auto" w:sz="4" w:space="0"/>
              <w:right w:val="single" w:color="auto" w:sz="4" w:space="0"/>
            </w:tcBorders>
            <w:shd w:val="clear" w:color="auto" w:fill="auto"/>
            <w:noWrap/>
            <w:vAlign w:val="center"/>
          </w:tcPr>
          <w:p w14:paraId="20D3DF9E">
            <w:pPr>
              <w:widowControl/>
              <w:jc w:val="center"/>
              <w:rPr>
                <w:rFonts w:hint="default" w:ascii="Times New Roman" w:hAnsi="Times New Roman" w:eastAsia="仿宋_GB2312"/>
                <w:color w:val="000000"/>
                <w:kern w:val="0"/>
                <w:szCs w:val="21"/>
                <w:highlight w:val="none"/>
                <w:lang w:val="en" w:eastAsia="zh-CN"/>
              </w:rPr>
            </w:pPr>
            <w:r>
              <w:rPr>
                <w:rFonts w:hint="eastAsia" w:ascii="Times New Roman" w:hAnsi="Times New Roman" w:eastAsia="仿宋_GB2312"/>
                <w:color w:val="000000"/>
                <w:kern w:val="0"/>
                <w:szCs w:val="21"/>
                <w:highlight w:val="none"/>
                <w:lang w:val="en-US" w:eastAsia="zh-CN"/>
              </w:rPr>
              <w:t>817.9</w:t>
            </w:r>
            <w:r>
              <w:rPr>
                <w:rFonts w:hint="default" w:ascii="Times New Roman" w:hAnsi="Times New Roman" w:eastAsia="仿宋_GB2312"/>
                <w:color w:val="000000"/>
                <w:kern w:val="0"/>
                <w:szCs w:val="21"/>
                <w:highlight w:val="none"/>
                <w:lang w:val="en" w:eastAsia="zh-CN"/>
              </w:rPr>
              <w:t>4</w:t>
            </w:r>
          </w:p>
        </w:tc>
        <w:tc>
          <w:tcPr>
            <w:tcW w:w="1107" w:type="dxa"/>
            <w:tcBorders>
              <w:top w:val="nil"/>
              <w:left w:val="nil"/>
              <w:bottom w:val="single" w:color="auto" w:sz="4" w:space="0"/>
              <w:right w:val="single" w:color="auto" w:sz="4" w:space="0"/>
            </w:tcBorders>
            <w:shd w:val="clear" w:color="auto" w:fill="auto"/>
            <w:noWrap/>
            <w:vAlign w:val="center"/>
          </w:tcPr>
          <w:p w14:paraId="66EB9D59">
            <w:pPr>
              <w:widowControl/>
              <w:jc w:val="center"/>
              <w:rPr>
                <w:rFonts w:hint="default" w:ascii="Times New Roman" w:hAnsi="Times New Roman" w:eastAsia="仿宋_GB2312"/>
                <w:color w:val="000000"/>
                <w:kern w:val="0"/>
                <w:szCs w:val="21"/>
                <w:highlight w:val="none"/>
                <w:lang w:val="en"/>
              </w:rPr>
            </w:pPr>
            <w:r>
              <w:rPr>
                <w:rFonts w:hint="eastAsia" w:ascii="Times New Roman" w:hAnsi="Times New Roman" w:eastAsia="仿宋_GB2312"/>
                <w:color w:val="000000"/>
                <w:kern w:val="0"/>
                <w:szCs w:val="21"/>
                <w:highlight w:val="none"/>
                <w:lang w:val="en-US" w:eastAsia="zh-CN"/>
              </w:rPr>
              <w:t>817.9</w:t>
            </w:r>
            <w:r>
              <w:rPr>
                <w:rFonts w:hint="default" w:ascii="Times New Roman" w:hAnsi="Times New Roman" w:eastAsia="仿宋_GB2312"/>
                <w:color w:val="000000"/>
                <w:kern w:val="0"/>
                <w:szCs w:val="21"/>
                <w:highlight w:val="none"/>
                <w:lang w:val="en" w:eastAsia="zh-CN"/>
              </w:rPr>
              <w:t>4</w:t>
            </w:r>
          </w:p>
        </w:tc>
        <w:tc>
          <w:tcPr>
            <w:tcW w:w="993" w:type="dxa"/>
            <w:tcBorders>
              <w:top w:val="nil"/>
              <w:left w:val="nil"/>
              <w:bottom w:val="single" w:color="auto" w:sz="4" w:space="0"/>
              <w:right w:val="single" w:color="auto" w:sz="4" w:space="0"/>
            </w:tcBorders>
            <w:shd w:val="clear" w:color="auto" w:fill="auto"/>
            <w:noWrap/>
            <w:vAlign w:val="center"/>
          </w:tcPr>
          <w:p w14:paraId="155C18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969" w:type="dxa"/>
            <w:tcBorders>
              <w:top w:val="nil"/>
              <w:left w:val="nil"/>
              <w:bottom w:val="single" w:color="auto" w:sz="4" w:space="0"/>
              <w:right w:val="single" w:color="auto" w:sz="4" w:space="0"/>
            </w:tcBorders>
            <w:shd w:val="clear" w:color="auto" w:fill="auto"/>
            <w:noWrap/>
            <w:vAlign w:val="center"/>
          </w:tcPr>
          <w:p w14:paraId="70C73688">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3B572EC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14:paraId="0801217A">
        <w:tblPrEx>
          <w:tblCellMar>
            <w:top w:w="0" w:type="dxa"/>
            <w:left w:w="108" w:type="dxa"/>
            <w:bottom w:w="0" w:type="dxa"/>
            <w:right w:w="108" w:type="dxa"/>
          </w:tblCellMar>
        </w:tblPrEx>
        <w:trPr>
          <w:trHeight w:val="325"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EB814A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CF8DD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4CBD1A01">
            <w:pPr>
              <w:widowControl/>
              <w:jc w:val="center"/>
              <w:rPr>
                <w:rFonts w:hint="default"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81</w:t>
            </w:r>
          </w:p>
        </w:tc>
        <w:tc>
          <w:tcPr>
            <w:tcW w:w="1230" w:type="dxa"/>
            <w:tcBorders>
              <w:top w:val="nil"/>
              <w:left w:val="nil"/>
              <w:bottom w:val="single" w:color="auto" w:sz="4" w:space="0"/>
              <w:right w:val="single" w:color="auto" w:sz="4" w:space="0"/>
            </w:tcBorders>
            <w:shd w:val="clear" w:color="auto" w:fill="auto"/>
            <w:noWrap/>
            <w:vAlign w:val="center"/>
          </w:tcPr>
          <w:p w14:paraId="549B13E0">
            <w:pPr>
              <w:widowControl/>
              <w:jc w:val="center"/>
              <w:rPr>
                <w:rFonts w:hint="default" w:ascii="Times New Roman" w:hAnsi="Times New Roman" w:eastAsia="仿宋_GB2312"/>
                <w:color w:val="000000"/>
                <w:kern w:val="0"/>
                <w:szCs w:val="21"/>
                <w:highlight w:val="none"/>
                <w:lang w:val="en" w:eastAsia="zh-CN"/>
              </w:rPr>
            </w:pPr>
            <w:r>
              <w:rPr>
                <w:rFonts w:hint="eastAsia" w:ascii="Times New Roman" w:hAnsi="Times New Roman" w:eastAsia="仿宋_GB2312"/>
                <w:color w:val="000000"/>
                <w:kern w:val="0"/>
                <w:szCs w:val="21"/>
                <w:highlight w:val="none"/>
                <w:lang w:val="en-US" w:eastAsia="zh-CN"/>
              </w:rPr>
              <w:t>736.9</w:t>
            </w:r>
            <w:r>
              <w:rPr>
                <w:rFonts w:hint="default" w:ascii="Times New Roman" w:hAnsi="Times New Roman" w:eastAsia="仿宋_GB2312"/>
                <w:color w:val="000000"/>
                <w:kern w:val="0"/>
                <w:szCs w:val="21"/>
                <w:highlight w:val="none"/>
                <w:lang w:val="en" w:eastAsia="zh-CN"/>
              </w:rPr>
              <w:t>7</w:t>
            </w:r>
          </w:p>
        </w:tc>
        <w:tc>
          <w:tcPr>
            <w:tcW w:w="1107" w:type="dxa"/>
            <w:tcBorders>
              <w:top w:val="nil"/>
              <w:left w:val="nil"/>
              <w:bottom w:val="single" w:color="auto" w:sz="4" w:space="0"/>
              <w:right w:val="single" w:color="auto" w:sz="4" w:space="0"/>
            </w:tcBorders>
            <w:shd w:val="clear" w:color="auto" w:fill="auto"/>
            <w:noWrap/>
            <w:vAlign w:val="center"/>
          </w:tcPr>
          <w:p w14:paraId="04F3D926">
            <w:pPr>
              <w:widowControl/>
              <w:jc w:val="center"/>
              <w:rPr>
                <w:rFonts w:hint="default" w:ascii="Times New Roman" w:hAnsi="Times New Roman" w:eastAsia="仿宋_GB2312"/>
                <w:color w:val="000000"/>
                <w:kern w:val="0"/>
                <w:szCs w:val="21"/>
                <w:highlight w:val="none"/>
                <w:lang w:val="en-US"/>
              </w:rPr>
            </w:pPr>
            <w:r>
              <w:rPr>
                <w:rFonts w:hint="eastAsia" w:ascii="Times New Roman" w:hAnsi="Times New Roman" w:eastAsia="仿宋_GB2312"/>
                <w:color w:val="000000"/>
                <w:kern w:val="0"/>
                <w:szCs w:val="21"/>
                <w:highlight w:val="none"/>
                <w:lang w:val="en-US" w:eastAsia="zh-CN"/>
              </w:rPr>
              <w:t>736.97</w:t>
            </w:r>
          </w:p>
        </w:tc>
        <w:tc>
          <w:tcPr>
            <w:tcW w:w="993" w:type="dxa"/>
            <w:tcBorders>
              <w:top w:val="nil"/>
              <w:left w:val="nil"/>
              <w:bottom w:val="single" w:color="auto" w:sz="4" w:space="0"/>
              <w:right w:val="single" w:color="auto" w:sz="4" w:space="0"/>
            </w:tcBorders>
            <w:shd w:val="clear" w:color="auto" w:fill="auto"/>
            <w:noWrap/>
            <w:vAlign w:val="center"/>
          </w:tcPr>
          <w:p w14:paraId="204B7FF8">
            <w:pPr>
              <w:widowControl/>
              <w:jc w:val="center"/>
              <w:rPr>
                <w:rFonts w:hint="default" w:ascii="Times New Roman" w:hAnsi="Times New Roman" w:eastAsia="仿宋_GB2312"/>
                <w:color w:val="000000"/>
                <w:kern w:val="0"/>
                <w:szCs w:val="21"/>
                <w:lang w:val="en-US" w:eastAsia="zh-CN"/>
              </w:rPr>
            </w:pPr>
          </w:p>
        </w:tc>
        <w:tc>
          <w:tcPr>
            <w:tcW w:w="969" w:type="dxa"/>
            <w:tcBorders>
              <w:top w:val="nil"/>
              <w:left w:val="nil"/>
              <w:bottom w:val="single" w:color="auto" w:sz="4" w:space="0"/>
              <w:right w:val="single" w:color="auto" w:sz="4" w:space="0"/>
            </w:tcBorders>
            <w:shd w:val="clear" w:color="auto" w:fill="auto"/>
            <w:noWrap/>
            <w:vAlign w:val="center"/>
          </w:tcPr>
          <w:p w14:paraId="542F3D7C">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64EA6AF3">
            <w:pPr>
              <w:widowControl/>
              <w:jc w:val="center"/>
              <w:rPr>
                <w:rFonts w:ascii="Times New Roman" w:hAnsi="Times New Roman" w:eastAsia="仿宋_GB2312"/>
                <w:color w:val="000000"/>
                <w:kern w:val="0"/>
                <w:szCs w:val="21"/>
              </w:rPr>
            </w:pPr>
          </w:p>
        </w:tc>
      </w:tr>
      <w:tr w14:paraId="7F60D7C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2D095A6">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8036D13">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6AA0F1D8">
            <w:pPr>
              <w:widowControl/>
              <w:jc w:val="center"/>
              <w:rPr>
                <w:rFonts w:hint="eastAsia"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19C54A52">
            <w:pPr>
              <w:widowControl/>
              <w:jc w:val="center"/>
              <w:rPr>
                <w:rFonts w:hint="default"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80.97</w:t>
            </w:r>
          </w:p>
        </w:tc>
        <w:tc>
          <w:tcPr>
            <w:tcW w:w="1107" w:type="dxa"/>
            <w:tcBorders>
              <w:top w:val="nil"/>
              <w:left w:val="nil"/>
              <w:bottom w:val="single" w:color="auto" w:sz="4" w:space="0"/>
              <w:right w:val="single" w:color="auto" w:sz="4" w:space="0"/>
            </w:tcBorders>
            <w:shd w:val="clear" w:color="auto" w:fill="auto"/>
            <w:noWrap/>
            <w:vAlign w:val="center"/>
          </w:tcPr>
          <w:p w14:paraId="36946459">
            <w:pPr>
              <w:widowControl/>
              <w:jc w:val="center"/>
              <w:rPr>
                <w:rFonts w:hint="default" w:ascii="Times New Roman" w:hAnsi="Times New Roman" w:eastAsia="仿宋_GB2312"/>
                <w:color w:val="000000"/>
                <w:kern w:val="0"/>
                <w:szCs w:val="21"/>
                <w:highlight w:val="none"/>
                <w:lang w:val="en-US"/>
              </w:rPr>
            </w:pPr>
            <w:r>
              <w:rPr>
                <w:rFonts w:hint="eastAsia" w:ascii="Times New Roman" w:hAnsi="Times New Roman" w:eastAsia="仿宋_GB2312"/>
                <w:color w:val="000000"/>
                <w:kern w:val="0"/>
                <w:szCs w:val="21"/>
                <w:highlight w:val="none"/>
                <w:lang w:val="en-US" w:eastAsia="zh-CN"/>
              </w:rPr>
              <w:t>80.97</w:t>
            </w:r>
          </w:p>
        </w:tc>
        <w:tc>
          <w:tcPr>
            <w:tcW w:w="993" w:type="dxa"/>
            <w:tcBorders>
              <w:top w:val="nil"/>
              <w:left w:val="nil"/>
              <w:bottom w:val="single" w:color="auto" w:sz="4" w:space="0"/>
              <w:right w:val="single" w:color="auto" w:sz="4" w:space="0"/>
            </w:tcBorders>
            <w:shd w:val="clear" w:color="auto" w:fill="auto"/>
            <w:noWrap/>
            <w:vAlign w:val="center"/>
          </w:tcPr>
          <w:p w14:paraId="05619C9A">
            <w:pPr>
              <w:widowControl/>
              <w:jc w:val="center"/>
              <w:rPr>
                <w:rFonts w:hint="default" w:ascii="Times New Roman" w:hAnsi="Times New Roman" w:eastAsia="仿宋_GB2312"/>
                <w:color w:val="000000"/>
                <w:kern w:val="0"/>
                <w:szCs w:val="21"/>
                <w:lang w:val="en-US" w:eastAsia="zh-CN"/>
              </w:rPr>
            </w:pPr>
          </w:p>
        </w:tc>
        <w:tc>
          <w:tcPr>
            <w:tcW w:w="969" w:type="dxa"/>
            <w:tcBorders>
              <w:top w:val="nil"/>
              <w:left w:val="nil"/>
              <w:bottom w:val="single" w:color="auto" w:sz="4" w:space="0"/>
              <w:right w:val="single" w:color="auto" w:sz="4" w:space="0"/>
            </w:tcBorders>
            <w:shd w:val="clear" w:color="auto" w:fill="auto"/>
            <w:noWrap/>
            <w:vAlign w:val="center"/>
          </w:tcPr>
          <w:p w14:paraId="7D222B02">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71EC2E40">
            <w:pPr>
              <w:widowControl/>
              <w:jc w:val="center"/>
              <w:rPr>
                <w:rFonts w:ascii="Times New Roman" w:hAnsi="Times New Roman" w:eastAsia="仿宋_GB2312"/>
                <w:color w:val="000000"/>
                <w:kern w:val="0"/>
                <w:szCs w:val="21"/>
              </w:rPr>
            </w:pPr>
          </w:p>
        </w:tc>
      </w:tr>
      <w:tr w14:paraId="53E2BD4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ADA91B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8EF9D85">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0818BE1E">
            <w:pPr>
              <w:widowControl/>
              <w:jc w:val="center"/>
              <w:rPr>
                <w:rFonts w:hint="eastAsia"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764A088E">
            <w:pPr>
              <w:widowControl/>
              <w:jc w:val="center"/>
              <w:rPr>
                <w:rFonts w:hint="eastAsia"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717A4D52">
            <w:pPr>
              <w:widowControl/>
              <w:jc w:val="center"/>
              <w:rPr>
                <w:rFonts w:hint="eastAsia" w:ascii="Times New Roman" w:hAnsi="Times New Roman" w:eastAsia="仿宋_GB2312"/>
                <w:color w:val="000000"/>
                <w:kern w:val="0"/>
                <w:szCs w:val="21"/>
                <w:highlight w:val="none"/>
                <w:lang w:val="en-US" w:eastAsia="zh-CN"/>
              </w:rPr>
            </w:pPr>
            <w:r>
              <w:rPr>
                <w:rFonts w:hint="eastAsia" w:ascii="Times New Roman" w:hAnsi="Times New Roman" w:eastAsia="仿宋_GB2312"/>
                <w:color w:val="000000"/>
                <w:kern w:val="0"/>
                <w:szCs w:val="21"/>
                <w:highlight w:val="none"/>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63240F34">
            <w:pPr>
              <w:widowControl/>
              <w:jc w:val="center"/>
              <w:rPr>
                <w:rFonts w:ascii="Times New Roman" w:hAnsi="Times New Roman" w:eastAsia="仿宋_GB2312"/>
                <w:color w:val="000000"/>
                <w:kern w:val="0"/>
                <w:szCs w:val="21"/>
              </w:rPr>
            </w:pPr>
          </w:p>
        </w:tc>
        <w:tc>
          <w:tcPr>
            <w:tcW w:w="969" w:type="dxa"/>
            <w:tcBorders>
              <w:top w:val="nil"/>
              <w:left w:val="nil"/>
              <w:bottom w:val="single" w:color="auto" w:sz="4" w:space="0"/>
              <w:right w:val="single" w:color="auto" w:sz="4" w:space="0"/>
            </w:tcBorders>
            <w:shd w:val="clear" w:color="auto" w:fill="auto"/>
            <w:noWrap/>
            <w:vAlign w:val="center"/>
          </w:tcPr>
          <w:p w14:paraId="3B34796B">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611D609F">
            <w:pPr>
              <w:widowControl/>
              <w:jc w:val="center"/>
              <w:rPr>
                <w:rFonts w:ascii="Times New Roman" w:hAnsi="Times New Roman" w:eastAsia="仿宋_GB2312"/>
                <w:color w:val="000000"/>
                <w:kern w:val="0"/>
                <w:szCs w:val="21"/>
              </w:rPr>
            </w:pPr>
          </w:p>
        </w:tc>
      </w:tr>
      <w:tr w14:paraId="5A2A2F87">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B29D0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6AAFD7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41ADCD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340" w:type="dxa"/>
            <w:gridSpan w:val="4"/>
            <w:tcBorders>
              <w:top w:val="single" w:color="auto" w:sz="4" w:space="0"/>
              <w:left w:val="nil"/>
              <w:bottom w:val="single" w:color="auto" w:sz="4" w:space="0"/>
              <w:right w:val="single" w:color="auto" w:sz="4" w:space="0"/>
            </w:tcBorders>
            <w:shd w:val="clear" w:color="auto" w:fill="auto"/>
            <w:noWrap/>
            <w:vAlign w:val="center"/>
          </w:tcPr>
          <w:p w14:paraId="1A84CA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61BAE289">
        <w:tblPrEx>
          <w:tblCellMar>
            <w:top w:w="0" w:type="dxa"/>
            <w:left w:w="108" w:type="dxa"/>
            <w:bottom w:w="0" w:type="dxa"/>
            <w:right w:w="108" w:type="dxa"/>
          </w:tblCellMar>
        </w:tblPrEx>
        <w:trPr>
          <w:trHeight w:val="99"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8C814B6">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58F1BA1">
            <w:pPr>
              <w:widowControl/>
              <w:jc w:val="both"/>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完成公务用车、公共机构节能、党政机关不动证产权办理工作</w:t>
            </w:r>
            <w:r>
              <w:rPr>
                <w:rFonts w:ascii="Times New Roman" w:hAnsi="Times New Roman" w:eastAsia="仿宋_GB2312"/>
                <w:color w:val="000000"/>
                <w:kern w:val="0"/>
                <w:szCs w:val="21"/>
              </w:rPr>
              <w:t>　　</w:t>
            </w:r>
          </w:p>
        </w:tc>
        <w:tc>
          <w:tcPr>
            <w:tcW w:w="4340" w:type="dxa"/>
            <w:gridSpan w:val="4"/>
            <w:tcBorders>
              <w:top w:val="single" w:color="auto" w:sz="4" w:space="0"/>
              <w:left w:val="nil"/>
              <w:bottom w:val="single" w:color="auto" w:sz="4" w:space="0"/>
              <w:right w:val="single" w:color="auto" w:sz="4" w:space="0"/>
            </w:tcBorders>
            <w:shd w:val="clear" w:color="auto" w:fill="auto"/>
            <w:noWrap/>
            <w:vAlign w:val="center"/>
          </w:tcPr>
          <w:p w14:paraId="3C2B6FB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完成了公务用车、公共机构节能、党政机关不动证产权办理工作</w:t>
            </w:r>
            <w:r>
              <w:rPr>
                <w:rFonts w:ascii="Times New Roman" w:hAnsi="Times New Roman" w:eastAsia="仿宋_GB2312"/>
                <w:color w:val="000000"/>
                <w:kern w:val="0"/>
                <w:szCs w:val="21"/>
              </w:rPr>
              <w:t>　</w:t>
            </w:r>
          </w:p>
        </w:tc>
      </w:tr>
      <w:tr w14:paraId="1D70B909">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BB34C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3DB69C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58FAC3F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7E961B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46B37F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2398F4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9CB8C4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87F299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2FAC4C4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6475DE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793FE3B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073CB8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12C1B60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0D42DE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9E7DD8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7B3A7B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07BDE36">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7E50BD">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50F50B7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670F80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CE1CB0A">
            <w:pPr>
              <w:widowControl/>
              <w:jc w:val="center"/>
              <w:rPr>
                <w:rFonts w:ascii="Times New Roman" w:hAnsi="Times New Roman" w:eastAsia="仿宋_GB2312"/>
                <w:color w:val="000000"/>
                <w:kern w:val="0"/>
                <w:szCs w:val="21"/>
              </w:rPr>
            </w:pPr>
          </w:p>
          <w:p w14:paraId="572ED8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right w:val="single" w:color="auto" w:sz="4" w:space="0"/>
            </w:tcBorders>
            <w:shd w:val="clear" w:color="auto" w:fill="auto"/>
            <w:noWrap/>
            <w:vAlign w:val="center"/>
          </w:tcPr>
          <w:p w14:paraId="592EFA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95D3C54">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产权证管理</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3025C3D">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集中保管1577个房产证</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98CE76B">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实现全部管理</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551848B">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6A436791">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7F61F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237AB4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36AB5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7D77278">
            <w:pPr>
              <w:jc w:val="left"/>
              <w:rPr>
                <w:rFonts w:ascii="Times New Roman" w:hAnsi="Times New Roman" w:eastAsia="仿宋_GB2312"/>
                <w:color w:val="000000"/>
                <w:kern w:val="0"/>
                <w:szCs w:val="21"/>
              </w:rPr>
            </w:pPr>
          </w:p>
        </w:tc>
        <w:tc>
          <w:tcPr>
            <w:tcW w:w="1261" w:type="dxa"/>
            <w:vMerge w:val="continue"/>
            <w:tcBorders>
              <w:left w:val="nil"/>
              <w:right w:val="single" w:color="auto" w:sz="4" w:space="0"/>
            </w:tcBorders>
            <w:shd w:val="clear" w:color="auto" w:fill="auto"/>
            <w:noWrap/>
            <w:vAlign w:val="center"/>
          </w:tcPr>
          <w:p w14:paraId="10A025A4">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606E11D">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腾退办公室检查</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7E81A10">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对腾退单位专项检查</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D315407">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100%检查</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6145C32">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7242FCB6">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A99B6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B389EA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923C3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B73A78F">
            <w:pPr>
              <w:jc w:val="left"/>
              <w:rPr>
                <w:rFonts w:ascii="Times New Roman" w:hAnsi="Times New Roman" w:eastAsia="仿宋_GB2312"/>
                <w:color w:val="000000"/>
                <w:kern w:val="0"/>
                <w:szCs w:val="21"/>
              </w:rPr>
            </w:pPr>
          </w:p>
        </w:tc>
        <w:tc>
          <w:tcPr>
            <w:tcW w:w="1261" w:type="dxa"/>
            <w:vMerge w:val="continue"/>
            <w:tcBorders>
              <w:left w:val="nil"/>
              <w:right w:val="single" w:color="auto" w:sz="4" w:space="0"/>
            </w:tcBorders>
            <w:shd w:val="clear" w:color="auto" w:fill="auto"/>
            <w:noWrap/>
            <w:vAlign w:val="center"/>
          </w:tcPr>
          <w:p w14:paraId="742D7A0E">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03ECC39">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能源资源消费统计</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F70C66E">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完成1965家单位统计</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95A4A36">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100%统计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80AD2AD">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4D2067A9">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DE90E44">
            <w:pPr>
              <w:widowControl/>
              <w:jc w:val="left"/>
              <w:rPr>
                <w:rFonts w:ascii="Times New Roman" w:hAnsi="Times New Roman" w:eastAsia="仿宋_GB2312"/>
                <w:color w:val="000000"/>
                <w:kern w:val="0"/>
                <w:szCs w:val="21"/>
              </w:rPr>
            </w:pPr>
          </w:p>
        </w:tc>
      </w:tr>
      <w:tr w14:paraId="797763EA">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7251E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46BBF73">
            <w:pPr>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1F1EEAA4">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E3D63B5">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公车管理</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AEF4ED9">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统一管理全市501台公车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16B60B2">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实现全年监控</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D5792A4">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4975C238">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9916688">
            <w:pPr>
              <w:widowControl/>
              <w:jc w:val="left"/>
              <w:rPr>
                <w:rFonts w:ascii="Times New Roman" w:hAnsi="Times New Roman" w:eastAsia="仿宋_GB2312"/>
                <w:color w:val="000000"/>
                <w:kern w:val="0"/>
                <w:szCs w:val="21"/>
              </w:rPr>
            </w:pPr>
          </w:p>
        </w:tc>
      </w:tr>
      <w:tr w14:paraId="652D808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646DBA">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B448749">
            <w:pPr>
              <w:jc w:val="left"/>
              <w:rPr>
                <w:rFonts w:ascii="Times New Roman" w:hAnsi="Times New Roman" w:eastAsia="仿宋_GB2312"/>
                <w:color w:val="000000"/>
                <w:kern w:val="0"/>
                <w:szCs w:val="21"/>
              </w:rPr>
            </w:pPr>
          </w:p>
        </w:tc>
        <w:tc>
          <w:tcPr>
            <w:tcW w:w="1261" w:type="dxa"/>
            <w:vMerge w:val="restart"/>
            <w:tcBorders>
              <w:top w:val="single" w:color="auto" w:sz="4" w:space="0"/>
              <w:left w:val="nil"/>
              <w:right w:val="single" w:color="auto" w:sz="4" w:space="0"/>
            </w:tcBorders>
            <w:shd w:val="clear" w:color="auto" w:fill="auto"/>
            <w:noWrap/>
            <w:vAlign w:val="center"/>
          </w:tcPr>
          <w:p w14:paraId="7B041E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4F8C56B">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产权证管理质量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6415F5C">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不遗失损坏房产证</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DEDC002">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全年无遗失损坏</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DBD351E">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1C3238A7">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2F61D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D8D891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D3673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1FADF4C">
            <w:pPr>
              <w:jc w:val="left"/>
              <w:rPr>
                <w:rFonts w:ascii="Times New Roman" w:hAnsi="Times New Roman" w:eastAsia="仿宋_GB2312"/>
                <w:color w:val="000000"/>
                <w:kern w:val="0"/>
                <w:szCs w:val="21"/>
              </w:rPr>
            </w:pPr>
          </w:p>
        </w:tc>
        <w:tc>
          <w:tcPr>
            <w:tcW w:w="1261" w:type="dxa"/>
            <w:vMerge w:val="continue"/>
            <w:tcBorders>
              <w:left w:val="nil"/>
              <w:right w:val="single" w:color="auto" w:sz="4" w:space="0"/>
            </w:tcBorders>
            <w:shd w:val="clear" w:color="auto" w:fill="auto"/>
            <w:noWrap/>
            <w:vAlign w:val="center"/>
          </w:tcPr>
          <w:p w14:paraId="4AF1F6FC">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25061DE">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优化办公用房</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B73284F">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优化调整办公用房</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42F33A2">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整体优化</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2B9A84F">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3B7D1799">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552F2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5D5F5A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C6BF8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8109659">
            <w:pPr>
              <w:jc w:val="left"/>
              <w:rPr>
                <w:rFonts w:ascii="Times New Roman" w:hAnsi="Times New Roman" w:eastAsia="仿宋_GB2312"/>
                <w:color w:val="000000"/>
                <w:kern w:val="0"/>
                <w:szCs w:val="21"/>
              </w:rPr>
            </w:pPr>
          </w:p>
        </w:tc>
        <w:tc>
          <w:tcPr>
            <w:tcW w:w="1261" w:type="dxa"/>
            <w:vMerge w:val="continue"/>
            <w:tcBorders>
              <w:left w:val="nil"/>
              <w:right w:val="single" w:color="auto" w:sz="4" w:space="0"/>
            </w:tcBorders>
            <w:shd w:val="clear" w:color="auto" w:fill="auto"/>
            <w:noWrap/>
            <w:vAlign w:val="center"/>
          </w:tcPr>
          <w:p w14:paraId="50201A56">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E534D42">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节能统计差错情况</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3457B52">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基础统计不出现错漏情况</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97638A5">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无错漏情况</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2D12521">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6BC418BE">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80912A7">
            <w:pPr>
              <w:widowControl/>
              <w:jc w:val="left"/>
              <w:rPr>
                <w:rFonts w:ascii="Times New Roman" w:hAnsi="Times New Roman" w:eastAsia="仿宋_GB2312"/>
                <w:color w:val="000000"/>
                <w:kern w:val="0"/>
                <w:szCs w:val="21"/>
              </w:rPr>
            </w:pPr>
          </w:p>
        </w:tc>
      </w:tr>
      <w:tr w14:paraId="2BA8DB0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7DD9B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7744B9D">
            <w:pPr>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3FA5EE2C">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D01ABFE">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投诉处理</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9F45502">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投诉同比减少，处理量同比增长</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89F7B9C">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无投诉</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7871275">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538C4E95">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A75576E">
            <w:pPr>
              <w:widowControl/>
              <w:jc w:val="left"/>
              <w:rPr>
                <w:rFonts w:ascii="Times New Roman" w:hAnsi="Times New Roman" w:eastAsia="仿宋_GB2312"/>
                <w:color w:val="000000"/>
                <w:kern w:val="0"/>
                <w:szCs w:val="21"/>
              </w:rPr>
            </w:pPr>
          </w:p>
        </w:tc>
      </w:tr>
      <w:tr w14:paraId="3283414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D6214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0D82B3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438FAA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AC8FF7A">
            <w:pPr>
              <w:widowControl/>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kern w:val="0"/>
                <w:sz w:val="21"/>
                <w:szCs w:val="21"/>
              </w:rPr>
              <w:t>完成时间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64493FE">
            <w:pPr>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202</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年12月前</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D6CFC90">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190DC7A">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4904FBBA">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E3721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26BAFA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B751C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C5799B9">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F3D14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916AA80">
            <w:pPr>
              <w:widowControl/>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kern w:val="0"/>
                <w:sz w:val="21"/>
                <w:szCs w:val="21"/>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0CE9E92">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成本控制在预算范围内</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F197D38">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900万元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4875FDB">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14A94836">
            <w:pPr>
              <w:widowControl/>
              <w:jc w:val="center"/>
              <w:rPr>
                <w:rFonts w:hint="default" w:ascii="Times New Roman" w:hAnsi="Times New Roman" w:eastAsia="仿宋_GB2312" w:cs="Times New Roman"/>
                <w:color w:val="000000"/>
                <w:kern w:val="0"/>
                <w:sz w:val="21"/>
                <w:szCs w:val="21"/>
                <w:lang w:val="en"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24FD47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08F9CC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D6C4C9">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063BECE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53D44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DBF8696">
            <w:pPr>
              <w:widowControl/>
              <w:jc w:val="left"/>
              <w:rPr>
                <w:rFonts w:ascii="Times New Roman" w:hAnsi="Times New Roman" w:eastAsia="仿宋_GB2312"/>
                <w:color w:val="000000"/>
                <w:kern w:val="0"/>
                <w:szCs w:val="21"/>
              </w:rPr>
            </w:pPr>
          </w:p>
          <w:p w14:paraId="539459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0C90BA39">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38F76A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5DC743E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51DEF3E">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依法管理国有资产</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0D27C20">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对全市国有资产进行摸底清查</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96305A4">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全部清查完毕</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6F1DC6B">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3F2DBAB7">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03C5D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0295F6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EAE01A">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1CEA8E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8363D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E6B063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C02998C">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降低机关运行成本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002F1A4">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提升办公环境，做好公车调度，提高行政效率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3222CAA">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C90FB06">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20A8430A">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4E729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A88EED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6382DD">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6FAB3C48">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74D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97B5C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2B841">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节约水电气，降低能耗</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324E1">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全市公共机构事业单位人均能耗同比下降1%；水耗下降1%，单位建筑面积能耗同比下降1%。</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BFFC6">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55BAB">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6145959A">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619D4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675E64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600566">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646155C3">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C89E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E5DB0">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持续服务</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3B9CA">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 xml:space="preserve">  全年稳定为全市市直机关单位提供优质服务</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76505">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785EB">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4C372">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E116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DFC650">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D55A03">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DAD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040331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51BB06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FC7E0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2E097CCE">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全市机关事业单位</w:t>
            </w:r>
          </w:p>
        </w:tc>
        <w:tc>
          <w:tcPr>
            <w:tcW w:w="1230" w:type="dxa"/>
            <w:tcBorders>
              <w:top w:val="nil"/>
              <w:left w:val="nil"/>
              <w:bottom w:val="single" w:color="auto" w:sz="4" w:space="0"/>
              <w:right w:val="single" w:color="auto" w:sz="4" w:space="0"/>
            </w:tcBorders>
            <w:shd w:val="clear" w:color="auto" w:fill="auto"/>
            <w:noWrap/>
            <w:vAlign w:val="center"/>
          </w:tcPr>
          <w:p w14:paraId="47CADFEF">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服务对象满意率达到95%以上</w:t>
            </w:r>
          </w:p>
        </w:tc>
        <w:tc>
          <w:tcPr>
            <w:tcW w:w="1107" w:type="dxa"/>
            <w:tcBorders>
              <w:top w:val="nil"/>
              <w:left w:val="nil"/>
              <w:bottom w:val="single" w:color="auto" w:sz="4" w:space="0"/>
              <w:right w:val="single" w:color="auto" w:sz="4" w:space="0"/>
            </w:tcBorders>
            <w:shd w:val="clear" w:color="auto" w:fill="auto"/>
            <w:noWrap/>
            <w:vAlign w:val="center"/>
          </w:tcPr>
          <w:p w14:paraId="6ED8B94B">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993" w:type="dxa"/>
            <w:tcBorders>
              <w:top w:val="nil"/>
              <w:left w:val="nil"/>
              <w:bottom w:val="single" w:color="auto" w:sz="4" w:space="0"/>
              <w:right w:val="single" w:color="auto" w:sz="4" w:space="0"/>
            </w:tcBorders>
            <w:shd w:val="clear" w:color="auto" w:fill="auto"/>
            <w:noWrap/>
            <w:vAlign w:val="center"/>
          </w:tcPr>
          <w:p w14:paraId="03F68482">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969" w:type="dxa"/>
            <w:tcBorders>
              <w:top w:val="nil"/>
              <w:left w:val="nil"/>
              <w:bottom w:val="single" w:color="auto" w:sz="4" w:space="0"/>
              <w:right w:val="single" w:color="auto" w:sz="4" w:space="0"/>
            </w:tcBorders>
            <w:shd w:val="clear" w:color="auto" w:fill="auto"/>
            <w:noWrap/>
            <w:vAlign w:val="center"/>
          </w:tcPr>
          <w:p w14:paraId="3E3A1A8A">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71" w:type="dxa"/>
            <w:tcBorders>
              <w:top w:val="nil"/>
              <w:left w:val="nil"/>
              <w:bottom w:val="single" w:color="auto" w:sz="4" w:space="0"/>
              <w:right w:val="single" w:color="auto" w:sz="4" w:space="0"/>
            </w:tcBorders>
            <w:shd w:val="clear" w:color="auto" w:fill="auto"/>
            <w:noWrap/>
            <w:vAlign w:val="center"/>
          </w:tcPr>
          <w:p w14:paraId="51EF8DA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09AB3C4">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56313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49F1B24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969" w:type="dxa"/>
            <w:tcBorders>
              <w:top w:val="nil"/>
              <w:left w:val="nil"/>
              <w:bottom w:val="single" w:color="auto" w:sz="4" w:space="0"/>
              <w:right w:val="single" w:color="auto" w:sz="4" w:space="0"/>
            </w:tcBorders>
            <w:shd w:val="clear" w:color="auto" w:fill="auto"/>
            <w:noWrap/>
            <w:vAlign w:val="center"/>
          </w:tcPr>
          <w:p w14:paraId="0F710F8D">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0C4F1F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1B96E843">
      <w:pPr>
        <w:spacing w:beforeLines="50"/>
        <w:rPr>
          <w:rFonts w:ascii="Times New Roman" w:hAnsi="Times New Roman" w:eastAsia="仿宋_GB2312"/>
          <w:sz w:val="24"/>
        </w:rPr>
      </w:pPr>
    </w:p>
    <w:p w14:paraId="2A4545E8">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val="en-US" w:eastAsia="zh-CN"/>
        </w:rPr>
        <w:t>曹雨</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 xml:space="preserve">2023.4.6 </w:t>
      </w:r>
      <w:r>
        <w:rPr>
          <w:rFonts w:ascii="Times New Roman" w:hAnsi="Times New Roman" w:eastAsia="仿宋_GB2312"/>
          <w:sz w:val="24"/>
        </w:rPr>
        <w:t>联系电话：</w:t>
      </w:r>
      <w:r>
        <w:rPr>
          <w:rFonts w:hint="eastAsia" w:ascii="Times New Roman" w:hAnsi="Times New Roman" w:eastAsia="仿宋_GB2312"/>
          <w:sz w:val="24"/>
          <w:lang w:val="en-US" w:eastAsia="zh-CN"/>
        </w:rPr>
        <w:t>13975480164</w:t>
      </w:r>
      <w:r>
        <w:rPr>
          <w:rFonts w:ascii="Times New Roman" w:hAnsi="Times New Roman" w:eastAsia="仿宋_GB2312"/>
          <w:sz w:val="24"/>
        </w:rPr>
        <w:t xml:space="preserve"> 单位负责人签字：</w:t>
      </w:r>
    </w:p>
    <w:p w14:paraId="588A6014">
      <w:pPr>
        <w:spacing w:beforeLines="50"/>
        <w:rPr>
          <w:rFonts w:ascii="Times New Roman" w:hAnsi="Times New Roman"/>
        </w:rPr>
      </w:pPr>
    </w:p>
    <w:p w14:paraId="55C56C35">
      <w:pPr>
        <w:widowControl/>
        <w:spacing w:line="600" w:lineRule="exact"/>
        <w:jc w:val="left"/>
        <w:rPr>
          <w:rFonts w:ascii="Times New Roman" w:hAnsi="Times New Roman" w:eastAsia="黑体"/>
          <w:sz w:val="32"/>
          <w:szCs w:val="32"/>
        </w:rPr>
      </w:pPr>
    </w:p>
    <w:p w14:paraId="4488BDE4">
      <w:pPr>
        <w:jc w:val="center"/>
        <w:rPr>
          <w:rFonts w:hint="eastAsia" w:ascii="Times New Roman" w:hAnsi="Times New Roman" w:eastAsia="方正小标宋简体"/>
          <w:sz w:val="48"/>
          <w:szCs w:val="48"/>
          <w:lang w:val="en-US" w:eastAsia="zh-CN"/>
        </w:rPr>
      </w:pPr>
    </w:p>
    <w:p w14:paraId="5301C06A">
      <w:pPr>
        <w:jc w:val="center"/>
        <w:rPr>
          <w:rFonts w:hint="eastAsia" w:ascii="Times New Roman" w:hAnsi="Times New Roman" w:eastAsia="方正小标宋简体"/>
          <w:sz w:val="48"/>
          <w:szCs w:val="48"/>
          <w:lang w:val="en-US" w:eastAsia="zh-CN"/>
        </w:rPr>
      </w:pPr>
    </w:p>
    <w:p w14:paraId="449033E2">
      <w:pPr>
        <w:jc w:val="center"/>
        <w:rPr>
          <w:rFonts w:hint="eastAsia" w:ascii="Times New Roman" w:hAnsi="Times New Roman" w:eastAsia="方正小标宋简体"/>
          <w:sz w:val="48"/>
          <w:szCs w:val="48"/>
          <w:lang w:val="en-US" w:eastAsia="zh-CN"/>
        </w:rPr>
        <w:sectPr>
          <w:footerReference r:id="rId4" w:type="first"/>
          <w:footerReference r:id="rId3" w:type="default"/>
          <w:pgSz w:w="11906" w:h="16838"/>
          <w:pgMar w:top="1440" w:right="1797" w:bottom="1440" w:left="1797" w:header="851" w:footer="992" w:gutter="0"/>
          <w:pgNumType w:fmt="decimal" w:start="1"/>
          <w:cols w:space="425" w:num="1"/>
          <w:titlePg/>
          <w:rtlGutter w:val="1"/>
          <w:docGrid w:type="linesAndChars" w:linePitch="312" w:charSpace="0"/>
        </w:sectPr>
      </w:pPr>
    </w:p>
    <w:p w14:paraId="515FE3DD">
      <w:pPr>
        <w:jc w:val="center"/>
        <w:rPr>
          <w:rFonts w:hint="eastAsia" w:ascii="Times New Roman" w:hAnsi="Times New Roman" w:eastAsia="方正小标宋简体"/>
          <w:sz w:val="48"/>
          <w:szCs w:val="48"/>
          <w:lang w:val="en-US" w:eastAsia="zh-CN"/>
        </w:rPr>
      </w:pPr>
    </w:p>
    <w:p w14:paraId="187C7C58">
      <w:pPr>
        <w:jc w:val="center"/>
        <w:rPr>
          <w:rFonts w:hint="eastAsia" w:ascii="Times New Roman" w:hAnsi="Times New Roman" w:eastAsia="方正小标宋简体"/>
          <w:sz w:val="48"/>
          <w:szCs w:val="48"/>
          <w:lang w:val="en-US" w:eastAsia="zh-CN"/>
        </w:rPr>
      </w:pPr>
    </w:p>
    <w:p w14:paraId="7EC76635">
      <w:pPr>
        <w:jc w:val="center"/>
        <w:rPr>
          <w:rFonts w:hint="eastAsia" w:ascii="Times New Roman" w:hAnsi="Times New Roman" w:eastAsia="方正小标宋简体"/>
          <w:sz w:val="48"/>
          <w:szCs w:val="48"/>
          <w:lang w:val="en-US" w:eastAsia="zh-CN"/>
        </w:rPr>
      </w:pPr>
    </w:p>
    <w:p w14:paraId="50BB3EB8">
      <w:pPr>
        <w:jc w:val="center"/>
        <w:rPr>
          <w:rFonts w:hint="eastAsia" w:ascii="Times New Roman" w:hAnsi="Times New Roman" w:eastAsia="方正小标宋简体"/>
          <w:sz w:val="48"/>
          <w:szCs w:val="48"/>
          <w:lang w:val="en-US" w:eastAsia="zh-CN"/>
        </w:rPr>
      </w:pPr>
    </w:p>
    <w:p w14:paraId="29B3926A">
      <w:pPr>
        <w:jc w:val="center"/>
        <w:rPr>
          <w:rFonts w:hint="eastAsia" w:ascii="Times New Roman" w:hAnsi="Times New Roman" w:eastAsia="方正小标宋简体"/>
          <w:sz w:val="48"/>
          <w:szCs w:val="48"/>
          <w:lang w:val="en-US" w:eastAsia="zh-CN"/>
        </w:rPr>
      </w:pPr>
    </w:p>
    <w:p w14:paraId="7CA5468D">
      <w:pPr>
        <w:jc w:val="center"/>
        <w:rPr>
          <w:rFonts w:hint="eastAsia" w:ascii="Times New Roman" w:hAnsi="Times New Roman" w:eastAsia="方正小标宋简体"/>
          <w:sz w:val="48"/>
          <w:szCs w:val="48"/>
          <w:lang w:val="en-US" w:eastAsia="zh-CN"/>
        </w:rPr>
      </w:pPr>
    </w:p>
    <w:p w14:paraId="7964EEB1">
      <w:pPr>
        <w:jc w:val="center"/>
        <w:rPr>
          <w:rFonts w:ascii="Times New Roman" w:hAnsi="Times New Roman" w:eastAsia="方正小标宋简体"/>
          <w:sz w:val="48"/>
          <w:szCs w:val="48"/>
        </w:rPr>
      </w:pPr>
      <w:r>
        <w:rPr>
          <w:rFonts w:hint="eastAsia" w:ascii="Times New Roman" w:hAnsi="Times New Roman" w:eastAsia="方正小标宋简体"/>
          <w:sz w:val="48"/>
          <w:szCs w:val="48"/>
          <w:lang w:val="en-US" w:eastAsia="zh-CN"/>
        </w:rPr>
        <w:t>项目</w:t>
      </w:r>
      <w:r>
        <w:rPr>
          <w:rFonts w:ascii="Times New Roman" w:hAnsi="Times New Roman" w:eastAsia="方正小标宋简体"/>
          <w:sz w:val="48"/>
          <w:szCs w:val="48"/>
        </w:rPr>
        <w:t>支出绩效自评报告</w:t>
      </w:r>
    </w:p>
    <w:p w14:paraId="6E726B68">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2</w:t>
      </w:r>
      <w:r>
        <w:rPr>
          <w:rFonts w:ascii="Times New Roman" w:hAnsi="Times New Roman" w:eastAsia="方正小标宋简体"/>
          <w:sz w:val="36"/>
          <w:szCs w:val="36"/>
        </w:rPr>
        <w:t>年度</w:t>
      </w:r>
      <w:r>
        <w:rPr>
          <w:rFonts w:hint="eastAsia" w:ascii="Times New Roman" w:hAnsi="Times New Roman" w:eastAsia="方正小标宋简体"/>
          <w:sz w:val="36"/>
          <w:szCs w:val="36"/>
          <w:lang w:eastAsia="zh-CN"/>
        </w:rPr>
        <w:t>）</w:t>
      </w:r>
    </w:p>
    <w:p w14:paraId="3F4E18E9">
      <w:pPr>
        <w:jc w:val="center"/>
        <w:rPr>
          <w:rFonts w:ascii="Times New Roman" w:hAnsi="Times New Roman" w:eastAsia="黑体"/>
          <w:sz w:val="32"/>
          <w:szCs w:val="32"/>
        </w:rPr>
      </w:pPr>
    </w:p>
    <w:p w14:paraId="795AF421">
      <w:pPr>
        <w:jc w:val="center"/>
        <w:rPr>
          <w:rFonts w:ascii="Times New Roman" w:hAnsi="Times New Roman" w:eastAsia="黑体"/>
          <w:sz w:val="32"/>
          <w:szCs w:val="32"/>
        </w:rPr>
      </w:pPr>
    </w:p>
    <w:p w14:paraId="5DEFDBDC">
      <w:pPr>
        <w:jc w:val="center"/>
        <w:rPr>
          <w:rFonts w:ascii="Times New Roman" w:hAnsi="Times New Roman" w:eastAsia="黑体"/>
          <w:sz w:val="32"/>
          <w:szCs w:val="32"/>
        </w:rPr>
      </w:pPr>
    </w:p>
    <w:p w14:paraId="4CAB67C9">
      <w:pPr>
        <w:jc w:val="center"/>
        <w:rPr>
          <w:rFonts w:ascii="Times New Roman" w:hAnsi="Times New Roman" w:eastAsia="黑体"/>
          <w:sz w:val="32"/>
          <w:szCs w:val="32"/>
        </w:rPr>
      </w:pPr>
    </w:p>
    <w:p w14:paraId="78F8C8E9">
      <w:pPr>
        <w:rPr>
          <w:rFonts w:ascii="Times New Roman" w:hAnsi="Times New Roman" w:eastAsia="黑体"/>
          <w:sz w:val="32"/>
          <w:szCs w:val="32"/>
        </w:rPr>
      </w:pPr>
    </w:p>
    <w:p w14:paraId="7401AB7C">
      <w:pPr>
        <w:jc w:val="center"/>
        <w:rPr>
          <w:rFonts w:ascii="Times New Roman" w:hAnsi="Times New Roman"/>
          <w:sz w:val="36"/>
          <w:szCs w:val="36"/>
        </w:rPr>
      </w:pPr>
    </w:p>
    <w:p w14:paraId="17C46582">
      <w:pPr>
        <w:jc w:val="center"/>
        <w:rPr>
          <w:rFonts w:ascii="Times New Roman" w:hAnsi="Times New Roman"/>
          <w:sz w:val="36"/>
          <w:szCs w:val="36"/>
        </w:rPr>
      </w:pPr>
    </w:p>
    <w:p w14:paraId="6C56DDE8">
      <w:pPr>
        <w:jc w:val="both"/>
        <w:rPr>
          <w:rFonts w:ascii="Times New Roman" w:hAnsi="Times New Roman"/>
          <w:sz w:val="36"/>
          <w:szCs w:val="36"/>
        </w:rPr>
      </w:pPr>
    </w:p>
    <w:p w14:paraId="4C4CD159">
      <w:pPr>
        <w:jc w:val="both"/>
        <w:rPr>
          <w:rFonts w:ascii="Times New Roman" w:hAnsi="Times New Roman"/>
          <w:sz w:val="36"/>
          <w:szCs w:val="36"/>
        </w:rPr>
      </w:pPr>
    </w:p>
    <w:p w14:paraId="13B48919">
      <w:pPr>
        <w:ind w:firstLine="720" w:firstLineChars="200"/>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lang w:eastAsia="zh-CN"/>
        </w:rPr>
        <w:t>：</w:t>
      </w:r>
      <w:r>
        <w:rPr>
          <w:rFonts w:hint="eastAsia" w:ascii="Times New Roman" w:hAnsi="Times New Roman"/>
          <w:sz w:val="36"/>
          <w:szCs w:val="36"/>
          <w:lang w:val="en-US" w:eastAsia="zh-CN"/>
        </w:rPr>
        <w:t>衡阳市机关事务管理局</w:t>
      </w:r>
    </w:p>
    <w:p w14:paraId="2B352B97">
      <w:pPr>
        <w:ind w:firstLine="1800" w:firstLineChars="500"/>
        <w:jc w:val="both"/>
        <w:rPr>
          <w:rFonts w:ascii="Times New Roman" w:hAnsi="Times New Roman" w:eastAsia="黑体"/>
          <w:sz w:val="36"/>
          <w:szCs w:val="36"/>
        </w:rPr>
      </w:pPr>
      <w:r>
        <w:rPr>
          <w:rFonts w:hint="eastAsia" w:ascii="Times New Roman" w:hAnsi="Times New Roman"/>
          <w:sz w:val="36"/>
          <w:szCs w:val="36"/>
          <w:lang w:val="en-US" w:eastAsia="zh-CN"/>
        </w:rPr>
        <w:t>主要负责人签字</w:t>
      </w:r>
      <w:r>
        <w:rPr>
          <w:rFonts w:ascii="Times New Roman" w:hAnsi="Times New Roman"/>
          <w:sz w:val="36"/>
          <w:szCs w:val="36"/>
        </w:rPr>
        <w:t>：</w:t>
      </w:r>
    </w:p>
    <w:p w14:paraId="12C4BD02">
      <w:pPr>
        <w:jc w:val="center"/>
        <w:rPr>
          <w:rFonts w:ascii="Times New Roman" w:hAnsi="Times New Roman" w:eastAsia="黑体"/>
          <w:sz w:val="36"/>
          <w:szCs w:val="36"/>
        </w:rPr>
      </w:pPr>
    </w:p>
    <w:p w14:paraId="6143586D">
      <w:pPr>
        <w:ind w:firstLine="2880" w:firstLineChars="900"/>
        <w:jc w:val="both"/>
        <w:rPr>
          <w:rFonts w:ascii="Times New Roman" w:hAnsi="Times New Roman" w:eastAsia="方正小标宋_GBK"/>
          <w:sz w:val="36"/>
          <w:szCs w:val="36"/>
        </w:rPr>
      </w:pPr>
      <w:r>
        <w:rPr>
          <w:rFonts w:hint="eastAsia" w:ascii="Times New Roman" w:hAnsi="Times New Roman" w:eastAsia="黑体"/>
          <w:sz w:val="32"/>
          <w:szCs w:val="32"/>
          <w:lang w:val="en-US" w:eastAsia="zh-CN"/>
        </w:rPr>
        <w:t>2023</w:t>
      </w:r>
      <w:r>
        <w:rPr>
          <w:rFonts w:ascii="Times New Roman" w:hAnsi="Times New Roman" w:eastAsia="黑体"/>
          <w:sz w:val="32"/>
          <w:szCs w:val="32"/>
        </w:rPr>
        <w:t>年</w:t>
      </w:r>
      <w:r>
        <w:rPr>
          <w:rFonts w:hint="eastAsia" w:ascii="Times New Roman" w:hAnsi="Times New Roman" w:eastAsia="黑体"/>
          <w:sz w:val="32"/>
          <w:szCs w:val="32"/>
          <w:lang w:val="en-US" w:eastAsia="zh-CN"/>
        </w:rPr>
        <w:t>4</w:t>
      </w:r>
      <w:r>
        <w:rPr>
          <w:rFonts w:ascii="Times New Roman" w:hAnsi="Times New Roman" w:eastAsia="黑体"/>
          <w:sz w:val="32"/>
          <w:szCs w:val="32"/>
        </w:rPr>
        <w:t>月</w:t>
      </w:r>
      <w:r>
        <w:rPr>
          <w:rFonts w:hint="eastAsia" w:ascii="Times New Roman" w:hAnsi="Times New Roman" w:eastAsia="黑体"/>
          <w:sz w:val="32"/>
          <w:szCs w:val="32"/>
          <w:lang w:val="en-US" w:eastAsia="zh-CN"/>
        </w:rPr>
        <w:t>6</w:t>
      </w:r>
      <w:r>
        <w:rPr>
          <w:rFonts w:ascii="Times New Roman" w:hAnsi="Times New Roman" w:eastAsia="黑体"/>
          <w:sz w:val="32"/>
          <w:szCs w:val="32"/>
        </w:rPr>
        <w:t>日</w:t>
      </w:r>
    </w:p>
    <w:p w14:paraId="77B07CCB">
      <w:pPr>
        <w:spacing w:line="600" w:lineRule="exact"/>
        <w:jc w:val="center"/>
        <w:rPr>
          <w:rFonts w:hint="eastAsia" w:ascii="方正小标宋简体" w:hAnsi="方正小标宋简体" w:eastAsia="方正小标宋简体" w:cs="方正小标宋简体"/>
          <w:sz w:val="44"/>
          <w:szCs w:val="44"/>
        </w:rPr>
        <w:sectPr>
          <w:footerReference r:id="rId6" w:type="first"/>
          <w:footerReference r:id="rId5" w:type="default"/>
          <w:pgSz w:w="11906" w:h="16838"/>
          <w:pgMar w:top="1440" w:right="1797" w:bottom="1440" w:left="1797" w:header="851" w:footer="992" w:gutter="0"/>
          <w:pgNumType w:fmt="decimal" w:start="0"/>
          <w:cols w:space="425" w:num="1"/>
          <w:titlePg/>
          <w:rtlGutter w:val="1"/>
          <w:docGrid w:type="linesAndChars" w:linePitch="312" w:charSpace="0"/>
        </w:sectPr>
      </w:pPr>
    </w:p>
    <w:p w14:paraId="7C277C22">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项目支出绩效自评报告</w:t>
      </w:r>
    </w:p>
    <w:p w14:paraId="26D2BA98">
      <w:pPr>
        <w:spacing w:line="600" w:lineRule="exact"/>
        <w:jc w:val="center"/>
        <w:rPr>
          <w:rFonts w:hint="eastAsia" w:ascii="方正小标宋简体" w:hAnsi="方正小标宋简体" w:eastAsia="方正小标宋简体" w:cs="方正小标宋简体"/>
          <w:sz w:val="44"/>
          <w:szCs w:val="44"/>
        </w:rPr>
      </w:pPr>
    </w:p>
    <w:p w14:paraId="0ABBED03">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73B2C25E">
      <w:pPr>
        <w:adjustRightInd w:val="0"/>
        <w:snapToGrid w:val="0"/>
        <w:spacing w:line="60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ascii="Times New Roman" w:hAnsi="Times New Roman" w:eastAsia="仿宋_GB2312"/>
          <w:sz w:val="32"/>
          <w:szCs w:val="32"/>
          <w:highlight w:val="none"/>
        </w:rPr>
        <w:t>（一）项目实施单位基本情况。</w:t>
      </w:r>
    </w:p>
    <w:p w14:paraId="51B4B3A1">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_GB2312" w:eastAsia="仿宋_GB2312" w:cs="仿宋_GB2312"/>
          <w:color w:val="000000"/>
          <w:sz w:val="32"/>
          <w:szCs w:val="32"/>
          <w:lang w:val="en-US" w:eastAsia="zh-CN"/>
        </w:rPr>
        <w:t>衡阳市机关事务管理局是市政府工作部门，正处级。</w:t>
      </w:r>
      <w:r>
        <w:rPr>
          <w:rFonts w:hint="eastAsia" w:ascii="仿宋_GB2312" w:hAnsi="仿宋_GB2312" w:eastAsia="仿宋_GB2312" w:cs="仿宋_GB2312"/>
          <w:color w:val="000000"/>
          <w:sz w:val="32"/>
          <w:szCs w:val="32"/>
        </w:rPr>
        <w:t>我单位</w:t>
      </w:r>
      <w:r>
        <w:rPr>
          <w:rFonts w:hint="eastAsia" w:ascii="仿宋_GB2312" w:hAnsi="仿宋_GB2312" w:eastAsia="仿宋_GB2312" w:cs="仿宋_GB2312"/>
          <w:color w:val="000000"/>
          <w:sz w:val="32"/>
          <w:szCs w:val="32"/>
          <w:lang w:val="en-US" w:eastAsia="zh-CN"/>
        </w:rPr>
        <w:t>内设</w:t>
      </w:r>
      <w:r>
        <w:rPr>
          <w:rFonts w:hint="eastAsia" w:ascii="仿宋_GB2312" w:hAnsi="仿宋_GB2312" w:eastAsia="仿宋_GB2312" w:cs="仿宋_GB2312"/>
          <w:color w:val="000000"/>
          <w:sz w:val="32"/>
          <w:szCs w:val="32"/>
        </w:rPr>
        <w:t>科室</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个，包括办公室、财务管理科、办公用房管理科、国有资产管理科、公车管理科和公共资源节能管理科。所属事业单位1个，为衡阳市机关事务服务中心。无二级预算单位。</w:t>
      </w:r>
      <w:r>
        <w:rPr>
          <w:rFonts w:hint="eastAsia" w:ascii="仿宋_GB2312" w:hAnsi="仿宋" w:eastAsia="仿宋_GB2312"/>
          <w:sz w:val="32"/>
          <w:szCs w:val="32"/>
        </w:rPr>
        <w:t>本单位人员共</w:t>
      </w:r>
      <w:r>
        <w:rPr>
          <w:rFonts w:hint="eastAsia" w:ascii="仿宋_GB2312" w:hAnsi="仿宋" w:eastAsia="仿宋_GB2312"/>
          <w:sz w:val="32"/>
          <w:szCs w:val="32"/>
          <w:lang w:val="en-US" w:eastAsia="zh-CN"/>
        </w:rPr>
        <w:t>29</w:t>
      </w:r>
      <w:r>
        <w:rPr>
          <w:rFonts w:hint="eastAsia" w:ascii="仿宋_GB2312" w:hAnsi="仿宋" w:eastAsia="仿宋_GB2312"/>
          <w:sz w:val="32"/>
          <w:szCs w:val="32"/>
        </w:rPr>
        <w:t>个编制，</w:t>
      </w:r>
      <w:r>
        <w:rPr>
          <w:rFonts w:hint="eastAsia" w:ascii="仿宋_GB2312" w:hAnsi="仿宋" w:eastAsia="仿宋_GB2312"/>
          <w:sz w:val="32"/>
          <w:szCs w:val="32"/>
          <w:lang w:val="en-US" w:eastAsia="zh-CN"/>
        </w:rPr>
        <w:t>其中：行政编17个，工勤编1个，事业编11个。</w:t>
      </w:r>
      <w:r>
        <w:rPr>
          <w:rFonts w:hint="eastAsia" w:ascii="仿宋_GB2312" w:hAnsi="仿宋" w:eastAsia="仿宋_GB2312"/>
          <w:sz w:val="32"/>
          <w:szCs w:val="32"/>
        </w:rPr>
        <w:t>年末实有人数</w:t>
      </w:r>
      <w:r>
        <w:rPr>
          <w:rFonts w:hint="eastAsia" w:ascii="仿宋_GB2312" w:hAnsi="仿宋" w:eastAsia="仿宋_GB2312"/>
          <w:sz w:val="32"/>
          <w:szCs w:val="32"/>
          <w:lang w:val="en-US" w:eastAsia="zh-CN"/>
        </w:rPr>
        <w:t>25</w:t>
      </w:r>
      <w:r>
        <w:rPr>
          <w:rFonts w:hint="eastAsia" w:ascii="仿宋_GB2312" w:hAnsi="仿宋" w:eastAsia="仿宋_GB2312"/>
          <w:sz w:val="32"/>
          <w:szCs w:val="32"/>
        </w:rPr>
        <w:t>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其中行政编在职15人，工勤编在职1人，事业编在职9人。</w:t>
      </w:r>
    </w:p>
    <w:p w14:paraId="340F7B20">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lang w:val="en-US" w:eastAsia="zh-CN"/>
        </w:rPr>
        <w:t>我单位的主要职责是：</w:t>
      </w:r>
      <w:r>
        <w:rPr>
          <w:rFonts w:hint="eastAsia" w:ascii="仿宋_GB2312" w:hAnsi="仿宋_GB2312" w:eastAsia="仿宋_GB2312" w:cs="仿宋_GB2312"/>
          <w:kern w:val="0"/>
          <w:sz w:val="32"/>
          <w:szCs w:val="32"/>
        </w:rPr>
        <w:t>1.指导全市机关事务工作，负责市直机关事务的管理、保障和服务工作。2.指导全市机关单位办公用房管理，负责市直机关单位办公用房管理。3.负责市直行政事业单位机关国有资产管理。4.负责公务用车管理工作。5.统筹协调全市公共机构节能工作。6.会同相关部门管理、指导、监督、检查全市行政事业单位公务接待工作。7.负责指导市直机关单位后勤服务人员培训工作。负责指导全市机关后勤服务体制改革工作。</w:t>
      </w:r>
    </w:p>
    <w:p w14:paraId="33CFA9DE">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ascii="Times New Roman" w:hAnsi="Times New Roman" w:eastAsia="仿宋_GB2312"/>
          <w:sz w:val="32"/>
          <w:szCs w:val="32"/>
          <w:highlight w:val="none"/>
        </w:rPr>
        <w:t>（二）项目资金基本情况</w:t>
      </w:r>
    </w:p>
    <w:p w14:paraId="4DDC79D8">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2022年我单位年初预算安排的项目经费为81万元，其中：公务用车管理项目经费45万元，机关事业单位垃圾分类项目经费13.5万元，公共机构节能项目经费13.5万元，市直党政机关不动产权证办理项目经费9万元。</w:t>
      </w:r>
    </w:p>
    <w:p w14:paraId="5241DB74">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追加安排的项目经费为1069.9万元，其中：市纪监委办公楼防水修缮项目经费101.52万元，市纪委5号办公楼会议室及大厅维修项目经费40万元，市委大院维修工程（二期）项目经费467.37万元，市政协办公楼维修项目经费461.01万元。</w:t>
      </w:r>
    </w:p>
    <w:p w14:paraId="1D221578">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（三）预算资金绩效目标。</w:t>
      </w:r>
    </w:p>
    <w:p w14:paraId="7BA86669">
      <w:pPr>
        <w:pStyle w:val="2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认真履行机关事务局的管理、保障和服务职能，完成公务用车、机关事业单位垃圾分类、公共机构节能、党政机关不动证产权办理、办公用房维修等工作，实现财政资金和预算管理效益最大化，积极稳妥地推进机关事务工作新发展。</w:t>
      </w:r>
    </w:p>
    <w:p w14:paraId="5E639BED">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4B91315A">
      <w:pPr>
        <w:adjustRightInd w:val="0"/>
        <w:snapToGrid w:val="0"/>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（一）项目资金及自筹资金的安排落实、总投入等情况。</w:t>
      </w:r>
    </w:p>
    <w:p w14:paraId="6304F2CF">
      <w:pPr>
        <w:adjustRightInd w:val="0"/>
        <w:snapToGrid w:val="0"/>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2022年财政拨款项目资金81万元，追加安排项目资金1069.9万元，全部投入项目使用。</w:t>
      </w:r>
    </w:p>
    <w:p w14:paraId="110BD036">
      <w:pPr>
        <w:numPr>
          <w:ilvl w:val="0"/>
          <w:numId w:val="2"/>
        </w:numPr>
        <w:adjustRightInd w:val="0"/>
        <w:snapToGrid w:val="0"/>
        <w:spacing w:line="600" w:lineRule="exact"/>
        <w:ind w:left="0" w:leftChars="0"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项目资金实际使用情况。</w:t>
      </w:r>
    </w:p>
    <w:p w14:paraId="4ECBF2B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highlight w:val="none"/>
          <w:lang w:val="en-US" w:eastAsia="zh-CN"/>
        </w:rPr>
        <w:t>在资金使用上，我单位严格按照</w:t>
      </w:r>
      <w:r>
        <w:rPr>
          <w:rFonts w:ascii="Times New Roman" w:hAnsi="Times New Roman" w:eastAsia="仿宋_GB2312"/>
          <w:sz w:val="32"/>
          <w:szCs w:val="32"/>
        </w:rPr>
        <w:t>《中共湖南省委办公厅 湖南省人民政府办公厅关于全面实施预算绩效管理的实施意见》（湘办发〔2019〕10号）和《中共衡阳市委办公室 衡阳市人民政府办公室关于印发衡阳市预算绩效管理实施办法的通知》(衡办发〔2021〕13号)</w:t>
      </w:r>
      <w:r>
        <w:rPr>
          <w:rFonts w:hint="eastAsia" w:ascii="Times New Roman" w:hAnsi="Times New Roman" w:eastAsia="仿宋_GB2312"/>
          <w:sz w:val="32"/>
          <w:szCs w:val="32"/>
          <w:lang w:val="en-US" w:eastAsia="zh-CN"/>
        </w:rPr>
        <w:t>文件精神进行相关资金使用与绩效考核。</w:t>
      </w:r>
    </w:p>
    <w:p w14:paraId="2EA87A70">
      <w:pPr>
        <w:pStyle w:val="15"/>
        <w:rPr>
          <w:rFonts w:hint="default"/>
          <w:lang w:val="en-US" w:eastAsia="zh-CN"/>
        </w:rPr>
      </w:pPr>
    </w:p>
    <w:p w14:paraId="1A2F0A39">
      <w:pPr>
        <w:numPr>
          <w:ilvl w:val="0"/>
          <w:numId w:val="2"/>
        </w:numPr>
        <w:adjustRightInd w:val="0"/>
        <w:snapToGrid w:val="0"/>
        <w:spacing w:line="600" w:lineRule="exact"/>
        <w:ind w:left="0" w:leftChars="0"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项目资金管理情况分析，主要包括管理制度、办法的制订及执行情况。</w:t>
      </w:r>
    </w:p>
    <w:p w14:paraId="4A710CF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为加强财务管理，我单位严格按照相关规定要求，对项目的过程进行记录跟踪。建立健全财务管理制度，实施预算绩效管理，加强单位财务活动的控制和监督，严格审批程序，由财务科对每笔用款申请，在资料齐全完备的情况下，审核无误后确认付款。</w:t>
      </w:r>
    </w:p>
    <w:p w14:paraId="7558F6B6">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14C1E47F">
      <w:pPr>
        <w:adjustRightInd w:val="0"/>
        <w:snapToGrid w:val="0"/>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（一）项目资金使用管理情况，主要包括项目资金及项目管理制度建设、日常检查监督管理等情况。</w:t>
      </w:r>
    </w:p>
    <w:p w14:paraId="16F83FBE">
      <w:pPr>
        <w:adjustRightInd w:val="0"/>
        <w:snapToGrid w:val="0"/>
        <w:spacing w:line="600" w:lineRule="exact"/>
        <w:ind w:firstLine="640" w:firstLineChars="200"/>
        <w:rPr>
          <w:rFonts w:hint="default" w:ascii="Times New Roman" w:hAnsi="Times New Roman" w:eastAsia="仿宋_GB2312"/>
          <w:sz w:val="32"/>
          <w:szCs w:val="32"/>
          <w:highlight w:val="none"/>
          <w:lang w:val="en-US"/>
        </w:rPr>
      </w:pPr>
      <w:r>
        <w:rPr>
          <w:rFonts w:hint="eastAsia" w:ascii="Times New Roman" w:hAnsi="Times New Roman" w:eastAsia="仿宋_GB2312"/>
          <w:sz w:val="32"/>
          <w:szCs w:val="32"/>
          <w:highlight w:val="none"/>
          <w:lang w:val="en-US" w:eastAsia="zh-CN"/>
        </w:rPr>
        <w:t>在资金的使用过程中，严把监督审核关，并定期或不定期对资金使用、管理情况进行检查，基本做到资料披露信息真实、及时、完整，资金使用较为规范。</w:t>
      </w:r>
    </w:p>
    <w:p w14:paraId="744B9E3F">
      <w:pPr>
        <w:numPr>
          <w:ilvl w:val="0"/>
          <w:numId w:val="5"/>
        </w:numPr>
        <w:adjustRightInd w:val="0"/>
        <w:snapToGrid w:val="0"/>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项目组织实施情况，主要包括项目招投标、调整、竣工验收等情况。</w:t>
      </w:r>
    </w:p>
    <w:p w14:paraId="4690A76D">
      <w:pPr>
        <w:numPr>
          <w:ilvl w:val="0"/>
          <w:numId w:val="0"/>
        </w:numPr>
        <w:adjustRightInd w:val="0"/>
        <w:snapToGrid w:val="0"/>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在项目的实施过程中，我单位严格按照相关规定对项目的各个环节进行管理，保障</w:t>
      </w:r>
      <w:r>
        <w:rPr>
          <w:rFonts w:hint="eastAsia" w:ascii="Times New Roman" w:hAnsi="Times New Roman" w:eastAsia="仿宋_GB2312" w:cs="Times New Roman"/>
          <w:kern w:val="2"/>
          <w:sz w:val="32"/>
          <w:szCs w:val="32"/>
          <w:lang w:val="en-US" w:eastAsia="zh-CN" w:bidi="ar-SA"/>
        </w:rPr>
        <w:t>项目实施工作正常运行。</w:t>
      </w:r>
    </w:p>
    <w:p w14:paraId="2582F031">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7417CE26">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（一）项目支出决策情况。</w:t>
      </w:r>
    </w:p>
    <w:p w14:paraId="400C0E61">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中华人民共和国预算法》对绩效的相关要求，全面加强我局部门预算绩效管理工作，建立科学有效的预算绩效管理体系，健全规范的管理制度，合理配置资源，优化支出结构，提高财政资金使用效益，有效利用预算项目资金，提高工作效率，提供更好更多的社会公共服务。</w:t>
      </w:r>
    </w:p>
    <w:p w14:paraId="5A0FCBC8">
      <w:pPr>
        <w:numPr>
          <w:ilvl w:val="0"/>
          <w:numId w:val="0"/>
        </w:numPr>
        <w:adjustRightInd w:val="0"/>
        <w:snapToGrid w:val="0"/>
        <w:spacing w:line="600" w:lineRule="exact"/>
        <w:ind w:left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lang w:eastAsia="zh-CN"/>
        </w:rPr>
        <w:t>（二）</w:t>
      </w:r>
      <w:r>
        <w:rPr>
          <w:rFonts w:ascii="Times New Roman" w:hAnsi="Times New Roman" w:eastAsia="楷体_GB2312"/>
          <w:sz w:val="32"/>
          <w:szCs w:val="32"/>
          <w:highlight w:val="none"/>
        </w:rPr>
        <w:t>项目支出过程情况。</w:t>
      </w:r>
    </w:p>
    <w:p w14:paraId="515FE043">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按照项目绩效管理有关规定，</w:t>
      </w:r>
      <w:r>
        <w:rPr>
          <w:rFonts w:hint="eastAsia" w:ascii="Times New Roman" w:hAnsi="Times New Roman" w:eastAsia="仿宋_GB2312"/>
          <w:sz w:val="32"/>
          <w:szCs w:val="32"/>
          <w:lang w:val="en-US" w:eastAsia="zh-CN"/>
        </w:rPr>
        <w:t>在项目支出的过程中，</w:t>
      </w:r>
      <w:r>
        <w:rPr>
          <w:rFonts w:hint="eastAsia" w:ascii="Times New Roman" w:hAnsi="Times New Roman" w:eastAsia="仿宋_GB2312"/>
          <w:sz w:val="32"/>
          <w:szCs w:val="32"/>
        </w:rPr>
        <w:t>遵循客观、实事求是、公正、公开的原则，对项目决策、准备、实施等进行</w:t>
      </w:r>
      <w:r>
        <w:rPr>
          <w:rFonts w:hint="eastAsia" w:ascii="Times New Roman" w:hAnsi="Times New Roman" w:eastAsia="仿宋_GB2312"/>
          <w:sz w:val="32"/>
          <w:szCs w:val="32"/>
          <w:lang w:val="en-US" w:eastAsia="zh-CN"/>
        </w:rPr>
        <w:t>全程自我评价</w:t>
      </w:r>
      <w:r>
        <w:rPr>
          <w:rFonts w:hint="eastAsia" w:ascii="Times New Roman" w:hAnsi="Times New Roman" w:eastAsia="仿宋_GB2312"/>
          <w:sz w:val="32"/>
          <w:szCs w:val="32"/>
        </w:rPr>
        <w:t>。</w:t>
      </w:r>
    </w:p>
    <w:p w14:paraId="0DC72279">
      <w:pPr>
        <w:numPr>
          <w:ilvl w:val="0"/>
          <w:numId w:val="0"/>
        </w:numPr>
        <w:adjustRightInd w:val="0"/>
        <w:snapToGrid w:val="0"/>
        <w:spacing w:line="600" w:lineRule="exact"/>
        <w:ind w:leftChars="200"/>
        <w:rPr>
          <w:rFonts w:ascii="Times New Roman" w:hAnsi="Times New Roman" w:eastAsia="楷体_GB2312"/>
          <w:sz w:val="32"/>
          <w:szCs w:val="32"/>
        </w:rPr>
      </w:pPr>
      <w:r>
        <w:rPr>
          <w:rFonts w:hint="eastAsia" w:ascii="Times New Roman" w:hAnsi="Times New Roman" w:eastAsia="楷体_GB2312"/>
          <w:sz w:val="32"/>
          <w:szCs w:val="32"/>
          <w:lang w:eastAsia="zh-CN"/>
        </w:rPr>
        <w:t>（三）</w:t>
      </w:r>
      <w:r>
        <w:rPr>
          <w:rFonts w:ascii="Times New Roman" w:hAnsi="Times New Roman" w:eastAsia="楷体_GB2312"/>
          <w:sz w:val="32"/>
          <w:szCs w:val="32"/>
        </w:rPr>
        <w:t>项目支出产出情况。</w:t>
      </w:r>
    </w:p>
    <w:p w14:paraId="66764179">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认真履行机关事务局的管理、保障和服务职能，</w:t>
      </w:r>
      <w:r>
        <w:rPr>
          <w:rFonts w:hint="eastAsia" w:ascii="Times New Roman" w:hAnsi="Times New Roman" w:eastAsia="仿宋_GB2312"/>
          <w:sz w:val="32"/>
          <w:szCs w:val="32"/>
          <w:lang w:val="en-US" w:eastAsia="zh-CN"/>
        </w:rPr>
        <w:t>管理1577个党政机关产权证；对腾退办公室进行专项检查，对1965家单位能源资源消费进行统计，做好优化调整办公用房服务。</w:t>
      </w:r>
    </w:p>
    <w:p w14:paraId="7C6536B4">
      <w:pPr>
        <w:numPr>
          <w:ilvl w:val="0"/>
          <w:numId w:val="0"/>
        </w:numPr>
        <w:adjustRightInd w:val="0"/>
        <w:snapToGrid w:val="0"/>
        <w:spacing w:line="600" w:lineRule="exact"/>
        <w:ind w:leftChars="200"/>
        <w:rPr>
          <w:rFonts w:ascii="Times New Roman" w:hAnsi="Times New Roman" w:eastAsia="楷体_GB2312"/>
          <w:sz w:val="32"/>
          <w:szCs w:val="32"/>
        </w:rPr>
      </w:pPr>
      <w:r>
        <w:rPr>
          <w:rFonts w:hint="eastAsia" w:ascii="Times New Roman" w:hAnsi="Times New Roman" w:eastAsia="楷体_GB2312"/>
          <w:sz w:val="32"/>
          <w:szCs w:val="32"/>
          <w:lang w:eastAsia="zh-CN"/>
        </w:rPr>
        <w:t>（四）</w:t>
      </w:r>
      <w:r>
        <w:rPr>
          <w:rFonts w:ascii="Times New Roman" w:hAnsi="Times New Roman" w:eastAsia="楷体_GB2312"/>
          <w:sz w:val="32"/>
          <w:szCs w:val="32"/>
        </w:rPr>
        <w:t>项目支出效益情况。</w:t>
      </w:r>
    </w:p>
    <w:p w14:paraId="38140E5D">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全年持续稳定为全市市直机关单位提供优质服务，服务对象满意率达到100%。全市公共机构事业单位人均能耗同比下降1%；水耗下降1%，单位建筑面积能耗同比下降1%。着力提升办公环境，做好公车调度，提高行政效率，逐步实现规范化服务，巩固机关事务服务保障工作成效。</w:t>
      </w:r>
    </w:p>
    <w:p w14:paraId="08004627">
      <w:pPr>
        <w:numPr>
          <w:ilvl w:val="0"/>
          <w:numId w:val="0"/>
        </w:num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主要经验做法、存在的问题及原因分析</w:t>
      </w:r>
    </w:p>
    <w:p w14:paraId="03E89DC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firstLineChars="200"/>
        <w:rPr>
          <w:rFonts w:hint="default"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（一）主要经验做法</w:t>
      </w:r>
    </w:p>
    <w:p w14:paraId="7A38C18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1.制定绩效目标，细化预算编制工作。为了更好地达到绩效评价预期效果，进一步加强内部预算管理意识，严格按照预算编制的相关制度和要求进行预算编制，进一步提高预算编制的科学性、严谨性和可控性。</w:t>
      </w:r>
    </w:p>
    <w:p w14:paraId="5ABD4E3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2.加强项目实施进度的跟踪检查工作。定期对开展的项目实施情况进行跟踪检查，确保项目实施工作正常运行。</w:t>
      </w:r>
    </w:p>
    <w:p w14:paraId="3E2CA48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firstLineChars="200"/>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（二）存在的问题及原因分析</w:t>
      </w:r>
    </w:p>
    <w:p w14:paraId="2DF0012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cs="Times New Roman"/>
          <w:kern w:val="2"/>
          <w:sz w:val="32"/>
          <w:szCs w:val="32"/>
          <w:lang w:val="en-US" w:eastAsia="zh-CN" w:bidi="ar-SA"/>
        </w:rPr>
        <w:t>1.绩效管理制度有待完善，</w:t>
      </w:r>
      <w:r>
        <w:rPr>
          <w:rFonts w:hint="eastAsia" w:ascii="Times New Roman" w:hAnsi="Times New Roman" w:eastAsia="仿宋_GB2312" w:cs="Times New Roman"/>
          <w:kern w:val="2"/>
          <w:sz w:val="32"/>
          <w:szCs w:val="32"/>
          <w:highlight w:val="none"/>
          <w:lang w:val="en-US" w:eastAsia="zh-CN" w:bidi="ar-SA"/>
        </w:rPr>
        <w:t>体系需要逐渐健全。</w:t>
      </w:r>
      <w:r>
        <w:rPr>
          <w:rFonts w:ascii="Times New Roman" w:hAnsi="Times New Roman" w:eastAsia="仿宋_GB2312"/>
          <w:sz w:val="32"/>
          <w:szCs w:val="32"/>
          <w:highlight w:val="none"/>
        </w:rPr>
        <w:t>根</w:t>
      </w:r>
      <w:r>
        <w:rPr>
          <w:rFonts w:ascii="Times New Roman" w:hAnsi="Times New Roman" w:eastAsia="仿宋_GB2312"/>
          <w:sz w:val="32"/>
          <w:szCs w:val="32"/>
        </w:rPr>
        <w:t>据《中共湖南省委办公厅 湖南省人民政府办公厅关于全面实施预算绩效管理的实施意见》（湘办发〔2019〕10号）和《中共衡阳市委办公室 衡阳市人民政府办公室关于印发衡阳市预算绩效管理实施办法的通知》(衡办发〔2021〕13号)精神，</w:t>
      </w:r>
      <w:r>
        <w:rPr>
          <w:rFonts w:hint="eastAsia" w:ascii="Times New Roman" w:hAnsi="Times New Roman" w:eastAsia="仿宋_GB2312"/>
          <w:sz w:val="32"/>
          <w:szCs w:val="32"/>
          <w:lang w:val="en-US" w:eastAsia="zh-CN"/>
        </w:rPr>
        <w:t>结合我单位目前绩效评价管理现状，整体上还有差距，需要进一步健全。</w:t>
      </w:r>
    </w:p>
    <w:p w14:paraId="77FF8BD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2.人员专业素养有待提高。</w:t>
      </w:r>
      <w:r>
        <w:rPr>
          <w:rFonts w:ascii="仿宋" w:hAnsi="仿宋" w:eastAsia="仿宋" w:cs="仿宋"/>
          <w:i w:val="0"/>
          <w:iCs w:val="0"/>
          <w:caps w:val="0"/>
          <w:color w:val="000000"/>
          <w:spacing w:val="0"/>
          <w:sz w:val="32"/>
          <w:szCs w:val="32"/>
          <w:shd w:val="clear" w:fill="FFFFFF"/>
        </w:rPr>
        <w:t>新形势下</w:t>
      </w:r>
      <w:r>
        <w:rPr>
          <w:rFonts w:hint="eastAsia" w:ascii="Times New Roman" w:hAnsi="Times New Roman" w:eastAsia="仿宋_GB2312" w:cs="Times New Roman"/>
          <w:kern w:val="2"/>
          <w:sz w:val="32"/>
          <w:szCs w:val="32"/>
          <w:lang w:val="en-US" w:eastAsia="zh-CN" w:bidi="ar-SA"/>
        </w:rPr>
        <w:t>随着财政改革步伐的推进，预算绩效管理在财政改革中的地位与角色更加凸显，</w:t>
      </w:r>
      <w:r>
        <w:rPr>
          <w:rFonts w:ascii="仿宋" w:hAnsi="仿宋" w:eastAsia="仿宋" w:cs="仿宋"/>
          <w:i w:val="0"/>
          <w:iCs w:val="0"/>
          <w:caps w:val="0"/>
          <w:color w:val="000000"/>
          <w:spacing w:val="0"/>
          <w:sz w:val="32"/>
          <w:szCs w:val="32"/>
          <w:shd w:val="clear" w:fill="FFFFFF"/>
        </w:rPr>
        <w:t>对机关事务管理工作要求越来越高，分类越来越细</w:t>
      </w:r>
      <w:r>
        <w:rPr>
          <w:rFonts w:hint="eastAsia" w:ascii="仿宋" w:hAnsi="仿宋" w:eastAsia="仿宋" w:cs="仿宋"/>
          <w:i w:val="0"/>
          <w:iCs w:val="0"/>
          <w:caps w:val="0"/>
          <w:color w:val="000000"/>
          <w:spacing w:val="0"/>
          <w:sz w:val="32"/>
          <w:szCs w:val="32"/>
          <w:shd w:val="clear" w:fill="FFFFFF"/>
          <w:lang w:eastAsia="zh-CN"/>
        </w:rPr>
        <w:t>，</w:t>
      </w:r>
      <w:r>
        <w:rPr>
          <w:rFonts w:ascii="仿宋" w:hAnsi="仿宋" w:eastAsia="仿宋" w:cs="仿宋"/>
          <w:i w:val="0"/>
          <w:iCs w:val="0"/>
          <w:caps w:val="0"/>
          <w:color w:val="000000"/>
          <w:spacing w:val="0"/>
          <w:sz w:val="32"/>
          <w:szCs w:val="32"/>
          <w:shd w:val="clear" w:fill="FFFFFF"/>
        </w:rPr>
        <w:t>任务</w:t>
      </w:r>
      <w:r>
        <w:rPr>
          <w:rFonts w:hint="eastAsia" w:ascii="仿宋" w:hAnsi="仿宋" w:eastAsia="仿宋" w:cs="仿宋"/>
          <w:i w:val="0"/>
          <w:iCs w:val="0"/>
          <w:caps w:val="0"/>
          <w:color w:val="000000"/>
          <w:spacing w:val="0"/>
          <w:sz w:val="32"/>
          <w:szCs w:val="32"/>
          <w:shd w:val="clear" w:fill="FFFFFF"/>
          <w:lang w:val="en-US" w:eastAsia="zh-CN"/>
        </w:rPr>
        <w:t>愈加</w:t>
      </w:r>
      <w:r>
        <w:rPr>
          <w:rFonts w:ascii="仿宋" w:hAnsi="仿宋" w:eastAsia="仿宋" w:cs="仿宋"/>
          <w:i w:val="0"/>
          <w:iCs w:val="0"/>
          <w:caps w:val="0"/>
          <w:color w:val="000000"/>
          <w:spacing w:val="0"/>
          <w:sz w:val="32"/>
          <w:szCs w:val="32"/>
          <w:shd w:val="clear" w:fill="FFFFFF"/>
        </w:rPr>
        <w:t>繁重。</w:t>
      </w:r>
      <w:r>
        <w:rPr>
          <w:rFonts w:hint="eastAsia" w:ascii="仿宋" w:hAnsi="仿宋" w:eastAsia="仿宋" w:cs="仿宋"/>
          <w:i w:val="0"/>
          <w:iCs w:val="0"/>
          <w:caps w:val="0"/>
          <w:color w:val="000000"/>
          <w:spacing w:val="0"/>
          <w:sz w:val="32"/>
          <w:szCs w:val="32"/>
          <w:shd w:val="clear" w:fill="FFFFFF"/>
          <w:lang w:val="en-US" w:eastAsia="zh-CN"/>
        </w:rPr>
        <w:t>我单位缺乏专业人员，</w:t>
      </w:r>
      <w:r>
        <w:rPr>
          <w:rFonts w:hint="eastAsia" w:ascii="Times New Roman" w:hAnsi="Times New Roman" w:eastAsia="仿宋_GB2312" w:cs="Times New Roman"/>
          <w:kern w:val="2"/>
          <w:sz w:val="32"/>
          <w:szCs w:val="32"/>
          <w:lang w:val="en-US" w:eastAsia="zh-CN" w:bidi="ar-SA"/>
        </w:rPr>
        <w:t>缺乏专业知识和相应的工作经验，难以适应现行的预算绩效管理。</w:t>
      </w:r>
    </w:p>
    <w:p w14:paraId="5D15A168">
      <w:pPr>
        <w:keepNext w:val="0"/>
        <w:keepLines w:val="0"/>
        <w:pageBreakBefore w:val="0"/>
        <w:widowControl/>
        <w:shd w:val="clear" w:color="auto" w:fill="auto"/>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办公用房维修年初未安排预算资金。</w:t>
      </w:r>
      <w:r>
        <w:rPr>
          <w:rFonts w:hint="eastAsia" w:ascii="仿宋_GB2312" w:hAnsi="仿宋_GB2312" w:eastAsia="仿宋_GB2312" w:cs="仿宋_GB2312"/>
          <w:bCs/>
          <w:sz w:val="32"/>
          <w:szCs w:val="32"/>
        </w:rPr>
        <w:t>办公用房大中型维修资金需求量较大，目前</w:t>
      </w:r>
      <w:r>
        <w:rPr>
          <w:rFonts w:hint="eastAsia" w:ascii="仿宋_GB2312" w:hAnsi="仿宋_GB2312" w:eastAsia="仿宋_GB2312" w:cs="仿宋_GB2312"/>
          <w:bCs/>
          <w:sz w:val="32"/>
          <w:szCs w:val="32"/>
          <w:lang w:eastAsia="zh-CN"/>
        </w:rPr>
        <w:t>实行“一事一议”</w:t>
      </w:r>
      <w:r>
        <w:rPr>
          <w:rFonts w:hint="eastAsia" w:ascii="仿宋_GB2312" w:hAnsi="仿宋_GB2312" w:eastAsia="仿宋_GB2312" w:cs="仿宋_GB2312"/>
          <w:bCs/>
          <w:sz w:val="32"/>
          <w:szCs w:val="32"/>
        </w:rPr>
        <w:t>，</w:t>
      </w:r>
      <w:r>
        <w:rPr>
          <w:rFonts w:hint="eastAsia" w:ascii="Times New Roman" w:hAnsi="Times New Roman" w:eastAsia="仿宋_GB2312" w:cs="Times New Roman"/>
          <w:sz w:val="32"/>
          <w:szCs w:val="32"/>
          <w:lang w:eastAsia="zh-CN"/>
        </w:rPr>
        <w:t>无法提前主动开展工作，且预算指标下达与政府采购申报、财政投资评审在程序互为条件，无法做好绩效评价等工作。</w:t>
      </w:r>
    </w:p>
    <w:p w14:paraId="707001F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firstLineChars="200"/>
        <w:rPr>
          <w:rFonts w:hint="eastAsia" w:ascii="Times New Roman" w:hAnsi="Times New Roman" w:eastAsia="仿宋_GB2312" w:cs="Times New Roman"/>
          <w:kern w:val="2"/>
          <w:sz w:val="32"/>
          <w:szCs w:val="32"/>
          <w:lang w:val="en-US" w:eastAsia="zh-CN" w:bidi="ar-SA"/>
        </w:rPr>
      </w:pPr>
    </w:p>
    <w:p w14:paraId="43968D7B">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六、有关建议</w:t>
      </w:r>
    </w:p>
    <w:p w14:paraId="1C33173B">
      <w:pPr>
        <w:adjustRightInd w:val="0"/>
        <w:snapToGri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建议加大办公用房维修经费预算，并将其纳入年初预算中，以便更好实现预算绩效管理。</w:t>
      </w:r>
    </w:p>
    <w:p w14:paraId="3CA24C3D">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473DAF52">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无</w:t>
      </w:r>
    </w:p>
    <w:p w14:paraId="78F0AB61">
      <w:pPr>
        <w:pStyle w:val="7"/>
        <w:rPr>
          <w:rFonts w:hint="eastAsia" w:ascii="Times New Roman" w:hAnsi="Times New Roman" w:eastAsia="仿宋_GB2312"/>
          <w:sz w:val="32"/>
          <w:szCs w:val="32"/>
          <w:lang w:val="en-US" w:eastAsia="zh-CN"/>
        </w:rPr>
      </w:pPr>
    </w:p>
    <w:p w14:paraId="1E58E876">
      <w:pPr>
        <w:rPr>
          <w:rFonts w:hint="eastAsia" w:ascii="Times New Roman" w:hAnsi="Times New Roman" w:eastAsia="仿宋_GB2312"/>
          <w:sz w:val="32"/>
          <w:szCs w:val="32"/>
          <w:lang w:val="en-US" w:eastAsia="zh-CN"/>
        </w:rPr>
      </w:pPr>
    </w:p>
    <w:p w14:paraId="630F97DD">
      <w:pPr>
        <w:pStyle w:val="7"/>
        <w:rPr>
          <w:rFonts w:hint="eastAsia" w:ascii="Times New Roman" w:hAnsi="Times New Roman" w:eastAsia="仿宋_GB2312"/>
          <w:sz w:val="32"/>
          <w:szCs w:val="32"/>
          <w:lang w:val="en-US" w:eastAsia="zh-CN"/>
        </w:rPr>
      </w:pPr>
    </w:p>
    <w:p w14:paraId="696B1B45">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附件：项目支出绩效自评表</w:t>
      </w:r>
    </w:p>
    <w:p w14:paraId="5A47040D">
      <w:pPr>
        <w:rPr>
          <w:rFonts w:hint="eastAsia" w:ascii="Times New Roman" w:hAnsi="Times New Roman" w:eastAsia="仿宋_GB2312"/>
          <w:sz w:val="32"/>
          <w:szCs w:val="32"/>
          <w:lang w:val="en-US" w:eastAsia="zh-CN"/>
        </w:rPr>
      </w:pPr>
    </w:p>
    <w:p w14:paraId="12738811">
      <w:pPr>
        <w:pStyle w:val="7"/>
        <w:rPr>
          <w:rFonts w:hint="eastAsia" w:ascii="Times New Roman" w:hAnsi="Times New Roman" w:eastAsia="仿宋_GB2312"/>
          <w:sz w:val="32"/>
          <w:szCs w:val="32"/>
          <w:lang w:val="en-US" w:eastAsia="zh-CN"/>
        </w:rPr>
      </w:pPr>
    </w:p>
    <w:p w14:paraId="0174E88A">
      <w:pPr>
        <w:rPr>
          <w:rFonts w:hint="eastAsia" w:ascii="Times New Roman" w:hAnsi="Times New Roman" w:eastAsia="仿宋_GB2312"/>
          <w:sz w:val="32"/>
          <w:szCs w:val="32"/>
          <w:lang w:val="en-US" w:eastAsia="zh-CN"/>
        </w:rPr>
      </w:pPr>
    </w:p>
    <w:p w14:paraId="3A35B2A4">
      <w:pPr>
        <w:pStyle w:val="7"/>
        <w:rPr>
          <w:rFonts w:hint="eastAsia" w:ascii="Times New Roman" w:hAnsi="Times New Roman" w:eastAsia="仿宋_GB2312"/>
          <w:sz w:val="32"/>
          <w:szCs w:val="32"/>
          <w:lang w:val="en-US" w:eastAsia="zh-CN"/>
        </w:rPr>
      </w:pPr>
    </w:p>
    <w:p w14:paraId="44E12A5B">
      <w:pPr>
        <w:rPr>
          <w:rFonts w:hint="eastAsia" w:ascii="Times New Roman" w:hAnsi="Times New Roman" w:eastAsia="仿宋_GB2312"/>
          <w:sz w:val="32"/>
          <w:szCs w:val="32"/>
          <w:lang w:val="en-US" w:eastAsia="zh-CN"/>
        </w:rPr>
      </w:pPr>
    </w:p>
    <w:p w14:paraId="4FDFA7A1">
      <w:pPr>
        <w:pStyle w:val="7"/>
        <w:rPr>
          <w:rFonts w:hint="eastAsia" w:ascii="Times New Roman" w:hAnsi="Times New Roman" w:eastAsia="仿宋_GB2312"/>
          <w:sz w:val="32"/>
          <w:szCs w:val="32"/>
          <w:lang w:val="en-US" w:eastAsia="zh-CN"/>
        </w:rPr>
      </w:pPr>
    </w:p>
    <w:p w14:paraId="4F09C920">
      <w:pPr>
        <w:rPr>
          <w:rFonts w:hint="eastAsia" w:ascii="Times New Roman" w:hAnsi="Times New Roman" w:eastAsia="仿宋_GB2312"/>
          <w:sz w:val="32"/>
          <w:szCs w:val="32"/>
          <w:lang w:val="en-US" w:eastAsia="zh-CN"/>
        </w:rPr>
      </w:pPr>
    </w:p>
    <w:p w14:paraId="76B063F2">
      <w:pPr>
        <w:pStyle w:val="7"/>
        <w:rPr>
          <w:rFonts w:hint="eastAsia" w:ascii="Times New Roman" w:hAnsi="Times New Roman" w:eastAsia="仿宋_GB2312"/>
          <w:sz w:val="32"/>
          <w:szCs w:val="32"/>
          <w:lang w:val="en-US" w:eastAsia="zh-CN"/>
        </w:rPr>
      </w:pPr>
    </w:p>
    <w:p w14:paraId="049F283F">
      <w:pPr>
        <w:rPr>
          <w:rFonts w:hint="eastAsia" w:ascii="Times New Roman" w:hAnsi="Times New Roman" w:eastAsia="仿宋_GB2312"/>
          <w:sz w:val="32"/>
          <w:szCs w:val="32"/>
          <w:lang w:val="en-US" w:eastAsia="zh-CN"/>
        </w:rPr>
      </w:pPr>
    </w:p>
    <w:p w14:paraId="22A613BE">
      <w:pPr>
        <w:pStyle w:val="7"/>
        <w:rPr>
          <w:rFonts w:hint="eastAsia" w:ascii="Times New Roman" w:hAnsi="Times New Roman" w:eastAsia="仿宋_GB2312"/>
          <w:sz w:val="32"/>
          <w:szCs w:val="32"/>
          <w:lang w:val="en-US" w:eastAsia="zh-CN"/>
        </w:rPr>
      </w:pPr>
    </w:p>
    <w:p w14:paraId="3A7D70DE">
      <w:pPr>
        <w:rPr>
          <w:rFonts w:hint="eastAsia" w:ascii="Times New Roman" w:hAnsi="Times New Roman" w:eastAsia="仿宋_GB2312"/>
          <w:sz w:val="32"/>
          <w:szCs w:val="32"/>
          <w:lang w:val="en-US" w:eastAsia="zh-CN"/>
        </w:rPr>
      </w:pPr>
    </w:p>
    <w:p w14:paraId="23B1EB47">
      <w:pPr>
        <w:pStyle w:val="7"/>
        <w:rPr>
          <w:rFonts w:hint="eastAsia" w:ascii="Times New Roman" w:hAnsi="Times New Roman" w:eastAsia="仿宋_GB2312"/>
          <w:sz w:val="32"/>
          <w:szCs w:val="32"/>
          <w:lang w:val="en-US" w:eastAsia="zh-CN"/>
        </w:rPr>
      </w:pPr>
    </w:p>
    <w:p w14:paraId="5F79539B">
      <w:pPr>
        <w:rPr>
          <w:rFonts w:hint="eastAsia" w:ascii="Times New Roman" w:hAnsi="Times New Roman" w:eastAsia="仿宋_GB2312"/>
          <w:sz w:val="32"/>
          <w:szCs w:val="32"/>
          <w:lang w:val="en-US" w:eastAsia="zh-CN"/>
        </w:rPr>
      </w:pPr>
    </w:p>
    <w:p w14:paraId="040F52BC">
      <w:pPr>
        <w:pStyle w:val="7"/>
        <w:rPr>
          <w:rFonts w:hint="eastAsia" w:ascii="Times New Roman" w:hAnsi="Times New Roman" w:eastAsia="仿宋_GB2312"/>
          <w:sz w:val="32"/>
          <w:szCs w:val="32"/>
          <w:lang w:val="en-US" w:eastAsia="zh-CN"/>
        </w:rPr>
      </w:pPr>
    </w:p>
    <w:p w14:paraId="561970B4">
      <w:pPr>
        <w:rPr>
          <w:rFonts w:hint="eastAsia" w:ascii="Times New Roman" w:hAnsi="Times New Roman" w:eastAsia="仿宋_GB2312"/>
          <w:sz w:val="32"/>
          <w:szCs w:val="32"/>
          <w:lang w:val="en-US" w:eastAsia="zh-CN"/>
        </w:rPr>
      </w:pPr>
    </w:p>
    <w:p w14:paraId="694938B2">
      <w:pPr>
        <w:pStyle w:val="7"/>
        <w:rPr>
          <w:rFonts w:hint="eastAsia" w:ascii="Times New Roman" w:hAnsi="Times New Roman" w:eastAsia="仿宋_GB2312"/>
          <w:sz w:val="32"/>
          <w:szCs w:val="32"/>
          <w:lang w:val="en-US" w:eastAsia="zh-CN"/>
        </w:rPr>
      </w:pPr>
    </w:p>
    <w:p w14:paraId="4E6E363D">
      <w:pPr>
        <w:pStyle w:val="7"/>
        <w:rPr>
          <w:rFonts w:hint="default"/>
          <w:lang w:val="en-US" w:eastAsia="zh-CN"/>
        </w:rPr>
      </w:pPr>
    </w:p>
    <w:tbl>
      <w:tblPr>
        <w:tblStyle w:val="11"/>
        <w:tblW w:w="10113"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969"/>
        <w:gridCol w:w="1271"/>
      </w:tblGrid>
      <w:tr w14:paraId="64A37853">
        <w:tblPrEx>
          <w:tblCellMar>
            <w:top w:w="0" w:type="dxa"/>
            <w:left w:w="108" w:type="dxa"/>
            <w:bottom w:w="0" w:type="dxa"/>
            <w:right w:w="108" w:type="dxa"/>
          </w:tblCellMar>
        </w:tblPrEx>
        <w:trPr>
          <w:trHeight w:val="690" w:hRule="atLeast"/>
          <w:jc w:val="center"/>
        </w:trPr>
        <w:tc>
          <w:tcPr>
            <w:tcW w:w="10113" w:type="dxa"/>
            <w:gridSpan w:val="9"/>
            <w:tcBorders>
              <w:top w:val="nil"/>
              <w:left w:val="nil"/>
              <w:bottom w:val="nil"/>
              <w:right w:val="nil"/>
            </w:tcBorders>
            <w:shd w:val="clear" w:color="auto" w:fill="auto"/>
            <w:noWrap/>
            <w:vAlign w:val="center"/>
          </w:tcPr>
          <w:p w14:paraId="551BDB8D">
            <w:pPr>
              <w:ind w:right="640"/>
              <w:jc w:val="both"/>
              <w:rPr>
                <w:rFonts w:hint="eastAsia" w:ascii="方正小标宋简体" w:hAnsi="方正小标宋简体" w:eastAsia="方正小标宋简体" w:cs="方正小标宋简体"/>
                <w:color w:val="000000"/>
                <w:kern w:val="0"/>
                <w:sz w:val="36"/>
                <w:szCs w:val="36"/>
              </w:rPr>
            </w:pPr>
            <w:r>
              <w:rPr>
                <w:rFonts w:hint="eastAsia" w:ascii="宋体" w:hAnsi="宋体" w:eastAsia="宋体" w:cs="宋体"/>
                <w:sz w:val="24"/>
                <w:szCs w:val="24"/>
                <w:lang w:val="en-US" w:eastAsia="zh-CN"/>
              </w:rPr>
              <w:t>附件：</w:t>
            </w:r>
          </w:p>
          <w:p w14:paraId="43B55B86">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1BA07D3">
        <w:tblPrEx>
          <w:tblCellMar>
            <w:top w:w="0" w:type="dxa"/>
            <w:left w:w="108" w:type="dxa"/>
            <w:bottom w:w="0" w:type="dxa"/>
            <w:right w:w="108" w:type="dxa"/>
          </w:tblCellMar>
        </w:tblPrEx>
        <w:trPr>
          <w:trHeight w:val="270" w:hRule="atLeast"/>
          <w:jc w:val="center"/>
        </w:trPr>
        <w:tc>
          <w:tcPr>
            <w:tcW w:w="10113" w:type="dxa"/>
            <w:gridSpan w:val="9"/>
            <w:tcBorders>
              <w:top w:val="nil"/>
              <w:left w:val="nil"/>
              <w:bottom w:val="single" w:color="auto" w:sz="4" w:space="0"/>
              <w:right w:val="nil"/>
            </w:tcBorders>
            <w:shd w:val="clear" w:color="auto" w:fill="auto"/>
            <w:noWrap/>
            <w:vAlign w:val="center"/>
          </w:tcPr>
          <w:p w14:paraId="412A977A">
            <w:pPr>
              <w:widowControl/>
              <w:jc w:val="both"/>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lang w:val="en-US" w:eastAsia="zh-CN"/>
              </w:rPr>
              <w:t>衡阳市机关事务管理局</w:t>
            </w:r>
            <w:r>
              <w:rPr>
                <w:rFonts w:ascii="Times New Roman" w:hAnsi="Times New Roman"/>
                <w:color w:val="000000"/>
                <w:kern w:val="0"/>
                <w:sz w:val="22"/>
              </w:rPr>
              <w:t>（盖章）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0ED3986E">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67B1E5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242296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978" w:type="dxa"/>
            <w:gridSpan w:val="8"/>
            <w:tcBorders>
              <w:top w:val="single" w:color="auto" w:sz="4" w:space="0"/>
              <w:left w:val="nil"/>
              <w:bottom w:val="single" w:color="auto" w:sz="4" w:space="0"/>
              <w:right w:val="single" w:color="000000" w:sz="4" w:space="0"/>
            </w:tcBorders>
            <w:shd w:val="clear" w:color="auto" w:fill="auto"/>
            <w:noWrap/>
            <w:vAlign w:val="center"/>
          </w:tcPr>
          <w:p w14:paraId="73AFC52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公务用车管理、公共机构节能、党政机关不动证产权办理</w:t>
            </w:r>
            <w:r>
              <w:rPr>
                <w:rFonts w:ascii="Times New Roman" w:hAnsi="Times New Roman" w:eastAsia="仿宋_GB2312"/>
                <w:color w:val="000000"/>
                <w:kern w:val="0"/>
                <w:szCs w:val="21"/>
              </w:rPr>
              <w:t>　</w:t>
            </w:r>
          </w:p>
        </w:tc>
      </w:tr>
      <w:tr w14:paraId="2017A7D9">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06AD2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1C9AE64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衡阳市机关事务管理局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F7332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233" w:type="dxa"/>
            <w:gridSpan w:val="3"/>
            <w:tcBorders>
              <w:top w:val="single" w:color="auto" w:sz="4" w:space="0"/>
              <w:left w:val="nil"/>
              <w:bottom w:val="single" w:color="auto" w:sz="4" w:space="0"/>
              <w:right w:val="single" w:color="auto" w:sz="4" w:space="0"/>
            </w:tcBorders>
            <w:shd w:val="clear" w:color="auto" w:fill="auto"/>
            <w:noWrap/>
            <w:vAlign w:val="center"/>
          </w:tcPr>
          <w:p w14:paraId="0F2EB6F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衡阳市机关事务管理局</w:t>
            </w:r>
          </w:p>
        </w:tc>
      </w:tr>
      <w:tr w14:paraId="5CC3970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B65E88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69279C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2BE8DDD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C94151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17461E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26BC63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5CF41167">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671D3F18">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697ACA80">
            <w:pPr>
              <w:spacing w:line="240" w:lineRule="exact"/>
              <w:jc w:val="center"/>
              <w:rPr>
                <w:rFonts w:ascii="Times New Roman" w:hAnsi="Times New Roman" w:eastAsia="仿宋_GB2312"/>
                <w:szCs w:val="21"/>
              </w:rPr>
            </w:pPr>
          </w:p>
          <w:p w14:paraId="7C8AC4AF">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69" w:type="dxa"/>
            <w:tcBorders>
              <w:top w:val="nil"/>
              <w:left w:val="nil"/>
              <w:bottom w:val="single" w:color="auto" w:sz="4" w:space="0"/>
              <w:right w:val="single" w:color="auto" w:sz="4" w:space="0"/>
            </w:tcBorders>
            <w:shd w:val="clear" w:color="auto" w:fill="auto"/>
            <w:noWrap/>
          </w:tcPr>
          <w:p w14:paraId="316BD6D0">
            <w:pPr>
              <w:spacing w:line="240" w:lineRule="exact"/>
              <w:jc w:val="center"/>
              <w:rPr>
                <w:rFonts w:ascii="Times New Roman" w:hAnsi="Times New Roman" w:eastAsia="仿宋_GB2312"/>
                <w:szCs w:val="21"/>
              </w:rPr>
            </w:pPr>
          </w:p>
          <w:p w14:paraId="47AF5F8C">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1C16C3B3">
            <w:pPr>
              <w:spacing w:line="240" w:lineRule="exact"/>
              <w:jc w:val="center"/>
              <w:rPr>
                <w:rFonts w:ascii="Times New Roman" w:hAnsi="Times New Roman" w:eastAsia="仿宋_GB2312"/>
                <w:szCs w:val="21"/>
              </w:rPr>
            </w:pPr>
          </w:p>
          <w:p w14:paraId="0725C867">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5278105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856887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6ABAB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40560D06">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81</w:t>
            </w:r>
          </w:p>
        </w:tc>
        <w:tc>
          <w:tcPr>
            <w:tcW w:w="1230" w:type="dxa"/>
            <w:tcBorders>
              <w:top w:val="nil"/>
              <w:left w:val="nil"/>
              <w:bottom w:val="single" w:color="auto" w:sz="4" w:space="0"/>
              <w:right w:val="single" w:color="auto" w:sz="4" w:space="0"/>
            </w:tcBorders>
            <w:shd w:val="clear" w:color="auto" w:fill="auto"/>
            <w:noWrap/>
            <w:vAlign w:val="center"/>
          </w:tcPr>
          <w:p w14:paraId="4E58CB5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817.94</w:t>
            </w:r>
          </w:p>
        </w:tc>
        <w:tc>
          <w:tcPr>
            <w:tcW w:w="1107" w:type="dxa"/>
            <w:tcBorders>
              <w:top w:val="nil"/>
              <w:left w:val="nil"/>
              <w:bottom w:val="single" w:color="auto" w:sz="4" w:space="0"/>
              <w:right w:val="single" w:color="auto" w:sz="4" w:space="0"/>
            </w:tcBorders>
            <w:shd w:val="clear" w:color="auto" w:fill="auto"/>
            <w:noWrap/>
            <w:vAlign w:val="center"/>
          </w:tcPr>
          <w:p w14:paraId="7C53DAC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817.94</w:t>
            </w:r>
          </w:p>
        </w:tc>
        <w:tc>
          <w:tcPr>
            <w:tcW w:w="993" w:type="dxa"/>
            <w:tcBorders>
              <w:top w:val="nil"/>
              <w:left w:val="nil"/>
              <w:bottom w:val="single" w:color="auto" w:sz="4" w:space="0"/>
              <w:right w:val="single" w:color="auto" w:sz="4" w:space="0"/>
            </w:tcBorders>
            <w:shd w:val="clear" w:color="auto" w:fill="auto"/>
            <w:noWrap/>
            <w:vAlign w:val="center"/>
          </w:tcPr>
          <w:p w14:paraId="21158C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969" w:type="dxa"/>
            <w:tcBorders>
              <w:top w:val="nil"/>
              <w:left w:val="nil"/>
              <w:bottom w:val="single" w:color="auto" w:sz="4" w:space="0"/>
              <w:right w:val="single" w:color="auto" w:sz="4" w:space="0"/>
            </w:tcBorders>
            <w:shd w:val="clear" w:color="auto" w:fill="auto"/>
            <w:noWrap/>
            <w:vAlign w:val="center"/>
          </w:tcPr>
          <w:p w14:paraId="49C2E32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6ECE81D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14:paraId="51F01DD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C3A4EE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3ADA4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33F537E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81</w:t>
            </w:r>
          </w:p>
        </w:tc>
        <w:tc>
          <w:tcPr>
            <w:tcW w:w="1230" w:type="dxa"/>
            <w:tcBorders>
              <w:top w:val="nil"/>
              <w:left w:val="nil"/>
              <w:bottom w:val="single" w:color="auto" w:sz="4" w:space="0"/>
              <w:right w:val="single" w:color="auto" w:sz="4" w:space="0"/>
            </w:tcBorders>
            <w:shd w:val="clear" w:color="auto" w:fill="auto"/>
            <w:noWrap/>
            <w:vAlign w:val="center"/>
          </w:tcPr>
          <w:p w14:paraId="20BB57D6">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736.97</w:t>
            </w:r>
          </w:p>
        </w:tc>
        <w:tc>
          <w:tcPr>
            <w:tcW w:w="1107" w:type="dxa"/>
            <w:tcBorders>
              <w:top w:val="nil"/>
              <w:left w:val="nil"/>
              <w:bottom w:val="single" w:color="auto" w:sz="4" w:space="0"/>
              <w:right w:val="single" w:color="auto" w:sz="4" w:space="0"/>
            </w:tcBorders>
            <w:shd w:val="clear" w:color="auto" w:fill="auto"/>
            <w:noWrap/>
            <w:vAlign w:val="center"/>
          </w:tcPr>
          <w:p w14:paraId="698F6F7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736.97</w:t>
            </w:r>
          </w:p>
        </w:tc>
        <w:tc>
          <w:tcPr>
            <w:tcW w:w="993" w:type="dxa"/>
            <w:tcBorders>
              <w:top w:val="nil"/>
              <w:left w:val="nil"/>
              <w:bottom w:val="single" w:color="auto" w:sz="4" w:space="0"/>
              <w:right w:val="single" w:color="auto" w:sz="4" w:space="0"/>
            </w:tcBorders>
            <w:shd w:val="clear" w:color="auto" w:fill="auto"/>
            <w:noWrap/>
            <w:vAlign w:val="center"/>
          </w:tcPr>
          <w:p w14:paraId="3332DADB">
            <w:pPr>
              <w:widowControl/>
              <w:jc w:val="center"/>
              <w:rPr>
                <w:rFonts w:hint="default" w:ascii="Times New Roman" w:hAnsi="Times New Roman" w:eastAsia="仿宋_GB2312"/>
                <w:color w:val="000000"/>
                <w:kern w:val="0"/>
                <w:szCs w:val="21"/>
                <w:lang w:val="en-US" w:eastAsia="zh-CN"/>
              </w:rPr>
            </w:pPr>
          </w:p>
        </w:tc>
        <w:tc>
          <w:tcPr>
            <w:tcW w:w="969" w:type="dxa"/>
            <w:tcBorders>
              <w:top w:val="nil"/>
              <w:left w:val="nil"/>
              <w:bottom w:val="single" w:color="auto" w:sz="4" w:space="0"/>
              <w:right w:val="single" w:color="auto" w:sz="4" w:space="0"/>
            </w:tcBorders>
            <w:shd w:val="clear" w:color="auto" w:fill="auto"/>
            <w:noWrap/>
            <w:vAlign w:val="center"/>
          </w:tcPr>
          <w:p w14:paraId="5B664371">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5AD6E384">
            <w:pPr>
              <w:widowControl/>
              <w:jc w:val="center"/>
              <w:rPr>
                <w:rFonts w:ascii="Times New Roman" w:hAnsi="Times New Roman" w:eastAsia="仿宋_GB2312"/>
                <w:color w:val="000000"/>
                <w:kern w:val="0"/>
                <w:szCs w:val="21"/>
              </w:rPr>
            </w:pPr>
          </w:p>
        </w:tc>
      </w:tr>
      <w:tr w14:paraId="19A3454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3FC530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46D4D96">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13FFFD10">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3CC95DA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80.97</w:t>
            </w:r>
          </w:p>
        </w:tc>
        <w:tc>
          <w:tcPr>
            <w:tcW w:w="1107" w:type="dxa"/>
            <w:tcBorders>
              <w:top w:val="nil"/>
              <w:left w:val="nil"/>
              <w:bottom w:val="single" w:color="auto" w:sz="4" w:space="0"/>
              <w:right w:val="single" w:color="auto" w:sz="4" w:space="0"/>
            </w:tcBorders>
            <w:shd w:val="clear" w:color="auto" w:fill="auto"/>
            <w:noWrap/>
            <w:vAlign w:val="center"/>
          </w:tcPr>
          <w:p w14:paraId="301A8D9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80.97</w:t>
            </w:r>
          </w:p>
        </w:tc>
        <w:tc>
          <w:tcPr>
            <w:tcW w:w="993" w:type="dxa"/>
            <w:tcBorders>
              <w:top w:val="nil"/>
              <w:left w:val="nil"/>
              <w:bottom w:val="single" w:color="auto" w:sz="4" w:space="0"/>
              <w:right w:val="single" w:color="auto" w:sz="4" w:space="0"/>
            </w:tcBorders>
            <w:shd w:val="clear" w:color="auto" w:fill="auto"/>
            <w:noWrap/>
            <w:vAlign w:val="center"/>
          </w:tcPr>
          <w:p w14:paraId="6BF0B739">
            <w:pPr>
              <w:widowControl/>
              <w:jc w:val="center"/>
              <w:rPr>
                <w:rFonts w:hint="default" w:ascii="Times New Roman" w:hAnsi="Times New Roman" w:eastAsia="仿宋_GB2312"/>
                <w:color w:val="000000"/>
                <w:kern w:val="0"/>
                <w:szCs w:val="21"/>
                <w:lang w:val="en-US" w:eastAsia="zh-CN"/>
              </w:rPr>
            </w:pPr>
          </w:p>
        </w:tc>
        <w:tc>
          <w:tcPr>
            <w:tcW w:w="969" w:type="dxa"/>
            <w:tcBorders>
              <w:top w:val="nil"/>
              <w:left w:val="nil"/>
              <w:bottom w:val="single" w:color="auto" w:sz="4" w:space="0"/>
              <w:right w:val="single" w:color="auto" w:sz="4" w:space="0"/>
            </w:tcBorders>
            <w:shd w:val="clear" w:color="auto" w:fill="auto"/>
            <w:noWrap/>
            <w:vAlign w:val="center"/>
          </w:tcPr>
          <w:p w14:paraId="06BAFDE5">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275BA430">
            <w:pPr>
              <w:widowControl/>
              <w:jc w:val="center"/>
              <w:rPr>
                <w:rFonts w:ascii="Times New Roman" w:hAnsi="Times New Roman" w:eastAsia="仿宋_GB2312"/>
                <w:color w:val="000000"/>
                <w:kern w:val="0"/>
                <w:szCs w:val="21"/>
              </w:rPr>
            </w:pPr>
          </w:p>
        </w:tc>
      </w:tr>
      <w:tr w14:paraId="02C01C3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459027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441F35A">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5022AFD2">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5D10AF50">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59DEF2C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340706C4">
            <w:pPr>
              <w:widowControl/>
              <w:jc w:val="center"/>
              <w:rPr>
                <w:rFonts w:ascii="Times New Roman" w:hAnsi="Times New Roman" w:eastAsia="仿宋_GB2312"/>
                <w:color w:val="000000"/>
                <w:kern w:val="0"/>
                <w:szCs w:val="21"/>
              </w:rPr>
            </w:pPr>
          </w:p>
        </w:tc>
        <w:tc>
          <w:tcPr>
            <w:tcW w:w="969" w:type="dxa"/>
            <w:tcBorders>
              <w:top w:val="nil"/>
              <w:left w:val="nil"/>
              <w:bottom w:val="single" w:color="auto" w:sz="4" w:space="0"/>
              <w:right w:val="single" w:color="auto" w:sz="4" w:space="0"/>
            </w:tcBorders>
            <w:shd w:val="clear" w:color="auto" w:fill="auto"/>
            <w:noWrap/>
            <w:vAlign w:val="center"/>
          </w:tcPr>
          <w:p w14:paraId="5B026B55">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6DAA98B4">
            <w:pPr>
              <w:widowControl/>
              <w:jc w:val="center"/>
              <w:rPr>
                <w:rFonts w:ascii="Times New Roman" w:hAnsi="Times New Roman" w:eastAsia="仿宋_GB2312"/>
                <w:color w:val="000000"/>
                <w:kern w:val="0"/>
                <w:szCs w:val="21"/>
              </w:rPr>
            </w:pPr>
          </w:p>
        </w:tc>
      </w:tr>
      <w:tr w14:paraId="5FF8E29B">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5F97C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50D24C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6AA7F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340" w:type="dxa"/>
            <w:gridSpan w:val="4"/>
            <w:tcBorders>
              <w:top w:val="single" w:color="auto" w:sz="4" w:space="0"/>
              <w:left w:val="nil"/>
              <w:bottom w:val="single" w:color="auto" w:sz="4" w:space="0"/>
              <w:right w:val="single" w:color="auto" w:sz="4" w:space="0"/>
            </w:tcBorders>
            <w:shd w:val="clear" w:color="auto" w:fill="auto"/>
            <w:noWrap/>
            <w:vAlign w:val="center"/>
          </w:tcPr>
          <w:p w14:paraId="6B2BAAA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1E9E1612">
        <w:tblPrEx>
          <w:tblCellMar>
            <w:top w:w="0" w:type="dxa"/>
            <w:left w:w="108" w:type="dxa"/>
            <w:bottom w:w="0" w:type="dxa"/>
            <w:right w:w="108" w:type="dxa"/>
          </w:tblCellMar>
        </w:tblPrEx>
        <w:trPr>
          <w:trHeight w:val="99"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7D9E9B54">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A8DB81B">
            <w:pPr>
              <w:widowControl/>
              <w:jc w:val="both"/>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完成公务用车、公共机构节能、党政机关不动证产权办理工作</w:t>
            </w:r>
            <w:r>
              <w:rPr>
                <w:rFonts w:ascii="Times New Roman" w:hAnsi="Times New Roman" w:eastAsia="仿宋_GB2312"/>
                <w:color w:val="000000"/>
                <w:kern w:val="0"/>
                <w:szCs w:val="21"/>
              </w:rPr>
              <w:t>　　</w:t>
            </w:r>
          </w:p>
        </w:tc>
        <w:tc>
          <w:tcPr>
            <w:tcW w:w="4340" w:type="dxa"/>
            <w:gridSpan w:val="4"/>
            <w:tcBorders>
              <w:top w:val="single" w:color="auto" w:sz="4" w:space="0"/>
              <w:left w:val="nil"/>
              <w:bottom w:val="single" w:color="auto" w:sz="4" w:space="0"/>
              <w:right w:val="single" w:color="auto" w:sz="4" w:space="0"/>
            </w:tcBorders>
            <w:shd w:val="clear" w:color="auto" w:fill="auto"/>
            <w:noWrap/>
            <w:vAlign w:val="center"/>
          </w:tcPr>
          <w:p w14:paraId="5D472BB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完成了公务用车、公共机构节能、党政机关不动证产权办理工作</w:t>
            </w:r>
            <w:r>
              <w:rPr>
                <w:rFonts w:ascii="Times New Roman" w:hAnsi="Times New Roman" w:eastAsia="仿宋_GB2312"/>
                <w:color w:val="000000"/>
                <w:kern w:val="0"/>
                <w:szCs w:val="21"/>
              </w:rPr>
              <w:t>　</w:t>
            </w:r>
          </w:p>
        </w:tc>
      </w:tr>
      <w:tr w14:paraId="0CF8C3C8">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5A1DE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7817F0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4DEC3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253BA8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3782F8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3E28E6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1077FA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80B662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F30A0C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BA7D00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6C5DFDF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BBC2FC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257FB6F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812C36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6D7C176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0C25A3A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E62A4B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8B8D64">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3D0896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20084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901CB9C">
            <w:pPr>
              <w:widowControl/>
              <w:jc w:val="center"/>
              <w:rPr>
                <w:rFonts w:ascii="Times New Roman" w:hAnsi="Times New Roman" w:eastAsia="仿宋_GB2312"/>
                <w:color w:val="000000"/>
                <w:kern w:val="0"/>
                <w:szCs w:val="21"/>
              </w:rPr>
            </w:pPr>
          </w:p>
          <w:p w14:paraId="49B1D14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right w:val="single" w:color="auto" w:sz="4" w:space="0"/>
            </w:tcBorders>
            <w:shd w:val="clear" w:color="auto" w:fill="auto"/>
            <w:noWrap/>
            <w:vAlign w:val="center"/>
          </w:tcPr>
          <w:p w14:paraId="357EE5A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8DE067D">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产权证管理</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5AAAA21">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集中保管1577个房产证</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C30BC14">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实现全部管理</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5C52A76">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2A4AF9CC">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E2CB7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ACD0E1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2809E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D552CEC">
            <w:pPr>
              <w:jc w:val="left"/>
              <w:rPr>
                <w:rFonts w:ascii="Times New Roman" w:hAnsi="Times New Roman" w:eastAsia="仿宋_GB2312"/>
                <w:color w:val="000000"/>
                <w:kern w:val="0"/>
                <w:szCs w:val="21"/>
              </w:rPr>
            </w:pPr>
          </w:p>
        </w:tc>
        <w:tc>
          <w:tcPr>
            <w:tcW w:w="1261" w:type="dxa"/>
            <w:vMerge w:val="continue"/>
            <w:tcBorders>
              <w:left w:val="nil"/>
              <w:right w:val="single" w:color="auto" w:sz="4" w:space="0"/>
            </w:tcBorders>
            <w:shd w:val="clear" w:color="auto" w:fill="auto"/>
            <w:noWrap/>
            <w:vAlign w:val="center"/>
          </w:tcPr>
          <w:p w14:paraId="6822C0F0">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A6254D4">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腾退办公室检查</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4AD2495">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对腾退单位专项检查</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0885B9D">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100%检查</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ACD988B">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29EC5D27">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AE784B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853773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898FA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915ACE8">
            <w:pPr>
              <w:jc w:val="left"/>
              <w:rPr>
                <w:rFonts w:ascii="Times New Roman" w:hAnsi="Times New Roman" w:eastAsia="仿宋_GB2312"/>
                <w:color w:val="000000"/>
                <w:kern w:val="0"/>
                <w:szCs w:val="21"/>
              </w:rPr>
            </w:pPr>
          </w:p>
        </w:tc>
        <w:tc>
          <w:tcPr>
            <w:tcW w:w="1261" w:type="dxa"/>
            <w:vMerge w:val="continue"/>
            <w:tcBorders>
              <w:left w:val="nil"/>
              <w:right w:val="single" w:color="auto" w:sz="4" w:space="0"/>
            </w:tcBorders>
            <w:shd w:val="clear" w:color="auto" w:fill="auto"/>
            <w:noWrap/>
            <w:vAlign w:val="center"/>
          </w:tcPr>
          <w:p w14:paraId="46C9E453">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6C3B241">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能源资源消费统计</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65743D6">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完成1965家单位统计</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7EC2B38">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100%统计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6DF8086">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59139A82">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32EAF8D">
            <w:pPr>
              <w:widowControl/>
              <w:jc w:val="left"/>
              <w:rPr>
                <w:rFonts w:ascii="Times New Roman" w:hAnsi="Times New Roman" w:eastAsia="仿宋_GB2312"/>
                <w:color w:val="000000"/>
                <w:kern w:val="0"/>
                <w:szCs w:val="21"/>
              </w:rPr>
            </w:pPr>
          </w:p>
        </w:tc>
      </w:tr>
      <w:tr w14:paraId="79654FE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24F23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271B62C">
            <w:pPr>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6EBD1934">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0E30557">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公车管理</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41D992B">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统一管理全市501台公车</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CD579F0">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实现全年监控</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BAEC43C">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6CC2FB9D">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92DC788">
            <w:pPr>
              <w:widowControl/>
              <w:jc w:val="left"/>
              <w:rPr>
                <w:rFonts w:ascii="Times New Roman" w:hAnsi="Times New Roman" w:eastAsia="仿宋_GB2312"/>
                <w:color w:val="000000"/>
                <w:kern w:val="0"/>
                <w:szCs w:val="21"/>
              </w:rPr>
            </w:pPr>
          </w:p>
        </w:tc>
      </w:tr>
      <w:tr w14:paraId="76AF5AC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441D8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368F037">
            <w:pPr>
              <w:jc w:val="left"/>
              <w:rPr>
                <w:rFonts w:ascii="Times New Roman" w:hAnsi="Times New Roman" w:eastAsia="仿宋_GB2312"/>
                <w:color w:val="000000"/>
                <w:kern w:val="0"/>
                <w:szCs w:val="21"/>
              </w:rPr>
            </w:pPr>
          </w:p>
        </w:tc>
        <w:tc>
          <w:tcPr>
            <w:tcW w:w="1261" w:type="dxa"/>
            <w:vMerge w:val="restart"/>
            <w:tcBorders>
              <w:top w:val="single" w:color="auto" w:sz="4" w:space="0"/>
              <w:left w:val="nil"/>
              <w:right w:val="single" w:color="auto" w:sz="4" w:space="0"/>
            </w:tcBorders>
            <w:shd w:val="clear" w:color="auto" w:fill="auto"/>
            <w:noWrap/>
            <w:vAlign w:val="center"/>
          </w:tcPr>
          <w:p w14:paraId="0605FE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239E481">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产权证管理质量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6154646">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不遗失损坏房产证</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AB12CAE">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全年无遗失损坏</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3269BCE">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1CA8F770">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A8F32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AE3CC9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60BEB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533D1C2">
            <w:pPr>
              <w:jc w:val="left"/>
              <w:rPr>
                <w:rFonts w:ascii="Times New Roman" w:hAnsi="Times New Roman" w:eastAsia="仿宋_GB2312"/>
                <w:color w:val="000000"/>
                <w:kern w:val="0"/>
                <w:szCs w:val="21"/>
              </w:rPr>
            </w:pPr>
          </w:p>
        </w:tc>
        <w:tc>
          <w:tcPr>
            <w:tcW w:w="1261" w:type="dxa"/>
            <w:vMerge w:val="continue"/>
            <w:tcBorders>
              <w:left w:val="nil"/>
              <w:right w:val="single" w:color="auto" w:sz="4" w:space="0"/>
            </w:tcBorders>
            <w:shd w:val="clear" w:color="auto" w:fill="auto"/>
            <w:noWrap/>
            <w:vAlign w:val="center"/>
          </w:tcPr>
          <w:p w14:paraId="09E372E4">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D6A4A9B">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优化办公用房</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CE77B59">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优化调整办公用房</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0D4B58C">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整体优化</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861C0C5">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03A0060C">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999F7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1D35EFA">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A74CF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1D80294">
            <w:pPr>
              <w:jc w:val="left"/>
              <w:rPr>
                <w:rFonts w:ascii="Times New Roman" w:hAnsi="Times New Roman" w:eastAsia="仿宋_GB2312"/>
                <w:color w:val="000000"/>
                <w:kern w:val="0"/>
                <w:szCs w:val="21"/>
              </w:rPr>
            </w:pPr>
          </w:p>
        </w:tc>
        <w:tc>
          <w:tcPr>
            <w:tcW w:w="1261" w:type="dxa"/>
            <w:vMerge w:val="continue"/>
            <w:tcBorders>
              <w:left w:val="nil"/>
              <w:right w:val="single" w:color="auto" w:sz="4" w:space="0"/>
            </w:tcBorders>
            <w:shd w:val="clear" w:color="auto" w:fill="auto"/>
            <w:noWrap/>
            <w:vAlign w:val="center"/>
          </w:tcPr>
          <w:p w14:paraId="2B25C95F">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C836CCF">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节能统计差错情况</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E495D80">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基础统计不出现错漏情况</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2211BBE">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无错漏情况</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4ED982E">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4F03FE33">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DBE3065">
            <w:pPr>
              <w:widowControl/>
              <w:jc w:val="left"/>
              <w:rPr>
                <w:rFonts w:ascii="Times New Roman" w:hAnsi="Times New Roman" w:eastAsia="仿宋_GB2312"/>
                <w:color w:val="000000"/>
                <w:kern w:val="0"/>
                <w:szCs w:val="21"/>
              </w:rPr>
            </w:pPr>
          </w:p>
        </w:tc>
      </w:tr>
      <w:tr w14:paraId="34E0217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E1BD7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46E8E5A">
            <w:pPr>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7AADB469">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FB9EC36">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投诉处理</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9A19FD7">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投诉同比减少，处理量同比增长</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702F4AA">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无投诉</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7A87412">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7F58A809">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83A358A">
            <w:pPr>
              <w:widowControl/>
              <w:jc w:val="left"/>
              <w:rPr>
                <w:rFonts w:ascii="Times New Roman" w:hAnsi="Times New Roman" w:eastAsia="仿宋_GB2312"/>
                <w:color w:val="000000"/>
                <w:kern w:val="0"/>
                <w:szCs w:val="21"/>
              </w:rPr>
            </w:pPr>
          </w:p>
        </w:tc>
      </w:tr>
      <w:tr w14:paraId="6F490A6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F221F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EC1CCC5">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991B1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30C9AE0">
            <w:pPr>
              <w:widowControl/>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kern w:val="0"/>
                <w:sz w:val="21"/>
                <w:szCs w:val="21"/>
              </w:rPr>
              <w:t>完成时间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B4DE102">
            <w:pPr>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202</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年12月前</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ADB3267">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4A0B2A5">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7292CB18">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A7664C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B091B8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1585C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05D14AB">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E7065E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FD278F3">
            <w:pPr>
              <w:widowControl/>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kern w:val="0"/>
                <w:sz w:val="21"/>
                <w:szCs w:val="21"/>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F1E090C">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成本控制在预算范围内</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0A0E327">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900万元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B9D7852">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50A06F04">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725E4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4D2992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82BA83">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209CAEA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59424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02EFDF9">
            <w:pPr>
              <w:widowControl/>
              <w:jc w:val="left"/>
              <w:rPr>
                <w:rFonts w:ascii="Times New Roman" w:hAnsi="Times New Roman" w:eastAsia="仿宋_GB2312"/>
                <w:color w:val="000000"/>
                <w:kern w:val="0"/>
                <w:szCs w:val="21"/>
              </w:rPr>
            </w:pPr>
          </w:p>
          <w:p w14:paraId="68C792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52934FCE">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EF63FD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516ECC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7170A2A">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依法管理国有资产</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345B793">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对全市国有资产进行摸底清查</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51F8EC9">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全部清查完毕</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C17A341">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255E6CEE">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0CFDD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590906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37350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B30989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379BB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7196A0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54DF294">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降低机关运行成本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0E72C33">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提升办公环境，做好公车调度，提高行政效率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F92EA02">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6B13CFC">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5A7AE172">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6CA5B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64632E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695B5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A0099A4">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05E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66A8B4C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971B0">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节约水电气，降低能耗</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F71DF">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全市公共机构事业单位人均能耗同比下降1%；水耗下降1%，单位建筑面积能耗同比下降1%。</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47163">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D58D4">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456A650E">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F6094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16F43DA">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0FC2C5">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7D52F1EB">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4485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675BE">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持续服务</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AA6DB">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 xml:space="preserve">  全年稳定为全市市直机关单位提供优质服务</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4ECFB">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A547D">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E7180">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EA4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7A53838">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2FAA8C">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AAB8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6FA62A4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57131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A46A8C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3F37DE47">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全市机关事业单位</w:t>
            </w:r>
          </w:p>
        </w:tc>
        <w:tc>
          <w:tcPr>
            <w:tcW w:w="1230" w:type="dxa"/>
            <w:tcBorders>
              <w:top w:val="nil"/>
              <w:left w:val="nil"/>
              <w:bottom w:val="single" w:color="auto" w:sz="4" w:space="0"/>
              <w:right w:val="single" w:color="auto" w:sz="4" w:space="0"/>
            </w:tcBorders>
            <w:shd w:val="clear" w:color="auto" w:fill="auto"/>
            <w:noWrap/>
            <w:vAlign w:val="center"/>
          </w:tcPr>
          <w:p w14:paraId="6AB67D2E">
            <w:pPr>
              <w:widowControl/>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服务对象满意率达到95%以上</w:t>
            </w:r>
          </w:p>
        </w:tc>
        <w:tc>
          <w:tcPr>
            <w:tcW w:w="1107" w:type="dxa"/>
            <w:tcBorders>
              <w:top w:val="nil"/>
              <w:left w:val="nil"/>
              <w:bottom w:val="single" w:color="auto" w:sz="4" w:space="0"/>
              <w:right w:val="single" w:color="auto" w:sz="4" w:space="0"/>
            </w:tcBorders>
            <w:shd w:val="clear" w:color="auto" w:fill="auto"/>
            <w:noWrap/>
            <w:vAlign w:val="center"/>
          </w:tcPr>
          <w:p w14:paraId="59ADA912">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993" w:type="dxa"/>
            <w:tcBorders>
              <w:top w:val="nil"/>
              <w:left w:val="nil"/>
              <w:bottom w:val="single" w:color="auto" w:sz="4" w:space="0"/>
              <w:right w:val="single" w:color="auto" w:sz="4" w:space="0"/>
            </w:tcBorders>
            <w:shd w:val="clear" w:color="auto" w:fill="auto"/>
            <w:noWrap/>
            <w:vAlign w:val="center"/>
          </w:tcPr>
          <w:p w14:paraId="556684F6">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969" w:type="dxa"/>
            <w:tcBorders>
              <w:top w:val="nil"/>
              <w:left w:val="nil"/>
              <w:bottom w:val="single" w:color="auto" w:sz="4" w:space="0"/>
              <w:right w:val="single" w:color="auto" w:sz="4" w:space="0"/>
            </w:tcBorders>
            <w:shd w:val="clear" w:color="auto" w:fill="auto"/>
            <w:noWrap/>
            <w:vAlign w:val="center"/>
          </w:tcPr>
          <w:p w14:paraId="71307972">
            <w:pPr>
              <w:widowControl/>
              <w:jc w:val="left"/>
              <w:rPr>
                <w:rFonts w:hint="default" w:ascii="Times New Roman" w:hAnsi="Times New Roman" w:eastAsia="仿宋_GB2312" w:cs="Times New Roman"/>
                <w:b w:val="0"/>
                <w:bCs w:val="0"/>
                <w:color w:val="000000"/>
                <w:kern w:val="0"/>
                <w:sz w:val="21"/>
                <w:szCs w:val="21"/>
                <w:lang w:val="en-US" w:eastAsia="zh-CN" w:bidi="ar-SA"/>
              </w:rPr>
            </w:pPr>
            <w:r>
              <w:rPr>
                <w:rFonts w:hint="default" w:ascii="Times New Roman" w:hAnsi="Times New Roman" w:eastAsia="仿宋_GB2312" w:cs="Times New Roman"/>
                <w:b w:val="0"/>
                <w:bCs w:val="0"/>
                <w:color w:val="000000"/>
                <w:kern w:val="0"/>
                <w:szCs w:val="21"/>
              </w:rPr>
              <w:t>　</w:t>
            </w:r>
            <w:r>
              <w:rPr>
                <w:rFonts w:hint="default" w:ascii="Times New Roman" w:hAnsi="Times New Roman" w:eastAsia="仿宋_GB2312" w:cs="Times New Roman"/>
                <w:b w:val="0"/>
                <w:bCs w:val="0"/>
                <w:color w:val="000000"/>
                <w:kern w:val="0"/>
                <w:szCs w:val="21"/>
                <w:lang w:val="en-US" w:eastAsia="zh-CN"/>
              </w:rPr>
              <w:t>8</w:t>
            </w:r>
          </w:p>
        </w:tc>
        <w:tc>
          <w:tcPr>
            <w:tcW w:w="1271" w:type="dxa"/>
            <w:tcBorders>
              <w:top w:val="nil"/>
              <w:left w:val="nil"/>
              <w:bottom w:val="single" w:color="auto" w:sz="4" w:space="0"/>
              <w:right w:val="single" w:color="auto" w:sz="4" w:space="0"/>
            </w:tcBorders>
            <w:shd w:val="clear" w:color="auto" w:fill="auto"/>
            <w:noWrap/>
            <w:vAlign w:val="center"/>
          </w:tcPr>
          <w:p w14:paraId="4713A4C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CAC0502">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BF4BB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0E4DF8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969" w:type="dxa"/>
            <w:tcBorders>
              <w:top w:val="nil"/>
              <w:left w:val="nil"/>
              <w:bottom w:val="single" w:color="auto" w:sz="4" w:space="0"/>
              <w:right w:val="single" w:color="auto" w:sz="4" w:space="0"/>
            </w:tcBorders>
            <w:shd w:val="clear" w:color="auto" w:fill="auto"/>
            <w:noWrap/>
            <w:vAlign w:val="center"/>
          </w:tcPr>
          <w:p w14:paraId="3BA8CA73">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7E700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744984E4">
      <w:pPr>
        <w:spacing w:beforeLines="50"/>
        <w:rPr>
          <w:rFonts w:ascii="Times New Roman" w:hAnsi="Times New Roman" w:eastAsia="仿宋_GB2312"/>
          <w:sz w:val="24"/>
        </w:rPr>
      </w:pPr>
    </w:p>
    <w:p w14:paraId="5205FC5D">
      <w:pPr>
        <w:adjustRightInd w:val="0"/>
        <w:snapToGrid w:val="0"/>
        <w:spacing w:line="600" w:lineRule="exact"/>
        <w:rPr>
          <w:rFonts w:ascii="Times New Roman" w:hAnsi="Times New Roman" w:eastAsia="仿宋_GB2312"/>
          <w:sz w:val="32"/>
          <w:szCs w:val="32"/>
        </w:rPr>
      </w:pPr>
      <w:r>
        <w:rPr>
          <w:rFonts w:ascii="Times New Roman" w:hAnsi="Times New Roman" w:eastAsia="仿宋_GB2312"/>
          <w:sz w:val="24"/>
        </w:rPr>
        <w:t>填表人：</w:t>
      </w:r>
      <w:r>
        <w:rPr>
          <w:rFonts w:hint="eastAsia" w:ascii="Times New Roman" w:hAnsi="Times New Roman" w:eastAsia="仿宋_GB2312"/>
          <w:sz w:val="24"/>
          <w:lang w:val="en-US" w:eastAsia="zh-CN"/>
        </w:rPr>
        <w:t>曹雨</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 xml:space="preserve">2022.4.6 </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13975480164</w:t>
      </w:r>
      <w:r>
        <w:rPr>
          <w:rFonts w:ascii="Times New Roman" w:hAnsi="Times New Roman" w:eastAsia="仿宋_GB2312"/>
          <w:sz w:val="24"/>
        </w:rPr>
        <w:t xml:space="preserve"> 单位负责人签字：</w:t>
      </w:r>
    </w:p>
    <w:sectPr>
      <w:footerReference r:id="rId8" w:type="first"/>
      <w:footerReference r:id="rId7" w:type="default"/>
      <w:pgSz w:w="11906" w:h="16838"/>
      <w:pgMar w:top="1440" w:right="1797" w:bottom="1440" w:left="1797" w:header="851" w:footer="992" w:gutter="0"/>
      <w:pgNumType w:fmt="decimal"/>
      <w:cols w:space="425" w:num="1"/>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Droid Sans Fallback">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E5DB">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A32B0">
                          <w:pPr>
                            <w:pStyle w:val="7"/>
                            <w:keepNext w:val="0"/>
                            <w:keepLines w:val="0"/>
                            <w:pageBreakBefore w:val="0"/>
                            <w:widowControl w:val="0"/>
                            <w:kinsoku/>
                            <w:wordWrap/>
                            <w:overflowPunct/>
                            <w:topLinePunct w:val="0"/>
                            <w:autoSpaceDE/>
                            <w:autoSpaceDN/>
                            <w:bidi w:val="0"/>
                            <w:adjustRightInd/>
                            <w:snapToGrid w:val="0"/>
                            <w:textAlignment w:val="auto"/>
                            <w:rPr>
                              <w:rStyle w:val="13"/>
                              <w:rFonts w:ascii="Times New Roman" w:hAnsi="Times New Roman"/>
                              <w:sz w:val="28"/>
                              <w:szCs w:val="28"/>
                            </w:rPr>
                          </w:pPr>
                          <w:r>
                            <w:rPr>
                              <w:rStyle w:val="13"/>
                              <w:rFonts w:ascii="Times New Roman" w:hAnsi="Times New Roman"/>
                              <w:sz w:val="28"/>
                              <w:szCs w:val="28"/>
                            </w:rPr>
                            <w:t xml:space="preserve">— </w:t>
                          </w:r>
                          <w:r>
                            <w:rPr>
                              <w:rStyle w:val="13"/>
                              <w:rFonts w:ascii="Times New Roman" w:hAnsi="Times New Roman"/>
                              <w:sz w:val="28"/>
                              <w:szCs w:val="28"/>
                            </w:rPr>
                            <w:fldChar w:fldCharType="begin"/>
                          </w:r>
                          <w:r>
                            <w:rPr>
                              <w:rStyle w:val="13"/>
                              <w:rFonts w:ascii="Times New Roman" w:hAnsi="Times New Roman"/>
                              <w:sz w:val="28"/>
                              <w:szCs w:val="28"/>
                            </w:rPr>
                            <w:instrText xml:space="preserve"> PAGE  \* MERGEFORMAT </w:instrText>
                          </w:r>
                          <w:r>
                            <w:rPr>
                              <w:rStyle w:val="13"/>
                              <w:rFonts w:ascii="Times New Roman" w:hAnsi="Times New Roman"/>
                              <w:sz w:val="28"/>
                              <w:szCs w:val="28"/>
                            </w:rPr>
                            <w:fldChar w:fldCharType="separate"/>
                          </w:r>
                          <w:r>
                            <w:rPr>
                              <w:rStyle w:val="13"/>
                              <w:rFonts w:ascii="Times New Roman" w:hAnsi="Times New Roman"/>
                              <w:sz w:val="28"/>
                              <w:szCs w:val="28"/>
                            </w:rPr>
                            <w:t>3</w:t>
                          </w:r>
                          <w:r>
                            <w:rPr>
                              <w:rStyle w:val="13"/>
                              <w:rFonts w:ascii="Times New Roman" w:hAnsi="Times New Roman"/>
                              <w:sz w:val="28"/>
                              <w:szCs w:val="28"/>
                            </w:rPr>
                            <w:fldChar w:fldCharType="end"/>
                          </w:r>
                          <w:r>
                            <w:rPr>
                              <w:rStyle w:val="13"/>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CA32B0">
                    <w:pPr>
                      <w:pStyle w:val="7"/>
                      <w:keepNext w:val="0"/>
                      <w:keepLines w:val="0"/>
                      <w:pageBreakBefore w:val="0"/>
                      <w:widowControl w:val="0"/>
                      <w:kinsoku/>
                      <w:wordWrap/>
                      <w:overflowPunct/>
                      <w:topLinePunct w:val="0"/>
                      <w:autoSpaceDE/>
                      <w:autoSpaceDN/>
                      <w:bidi w:val="0"/>
                      <w:adjustRightInd/>
                      <w:snapToGrid w:val="0"/>
                      <w:textAlignment w:val="auto"/>
                      <w:rPr>
                        <w:rStyle w:val="13"/>
                        <w:rFonts w:ascii="Times New Roman" w:hAnsi="Times New Roman"/>
                        <w:sz w:val="28"/>
                        <w:szCs w:val="28"/>
                      </w:rPr>
                    </w:pPr>
                    <w:r>
                      <w:rPr>
                        <w:rStyle w:val="13"/>
                        <w:rFonts w:ascii="Times New Roman" w:hAnsi="Times New Roman"/>
                        <w:sz w:val="28"/>
                        <w:szCs w:val="28"/>
                      </w:rPr>
                      <w:t xml:space="preserve">— </w:t>
                    </w:r>
                    <w:r>
                      <w:rPr>
                        <w:rStyle w:val="13"/>
                        <w:rFonts w:ascii="Times New Roman" w:hAnsi="Times New Roman"/>
                        <w:sz w:val="28"/>
                        <w:szCs w:val="28"/>
                      </w:rPr>
                      <w:fldChar w:fldCharType="begin"/>
                    </w:r>
                    <w:r>
                      <w:rPr>
                        <w:rStyle w:val="13"/>
                        <w:rFonts w:ascii="Times New Roman" w:hAnsi="Times New Roman"/>
                        <w:sz w:val="28"/>
                        <w:szCs w:val="28"/>
                      </w:rPr>
                      <w:instrText xml:space="preserve"> PAGE  \* MERGEFORMAT </w:instrText>
                    </w:r>
                    <w:r>
                      <w:rPr>
                        <w:rStyle w:val="13"/>
                        <w:rFonts w:ascii="Times New Roman" w:hAnsi="Times New Roman"/>
                        <w:sz w:val="28"/>
                        <w:szCs w:val="28"/>
                      </w:rPr>
                      <w:fldChar w:fldCharType="separate"/>
                    </w:r>
                    <w:r>
                      <w:rPr>
                        <w:rStyle w:val="13"/>
                        <w:rFonts w:ascii="Times New Roman" w:hAnsi="Times New Roman"/>
                        <w:sz w:val="28"/>
                        <w:szCs w:val="28"/>
                      </w:rPr>
                      <w:t>3</w:t>
                    </w:r>
                    <w:r>
                      <w:rPr>
                        <w:rStyle w:val="13"/>
                        <w:rFonts w:ascii="Times New Roman" w:hAnsi="Times New Roman"/>
                        <w:sz w:val="28"/>
                        <w:szCs w:val="28"/>
                      </w:rPr>
                      <w:fldChar w:fldCharType="end"/>
                    </w:r>
                    <w:r>
                      <w:rPr>
                        <w:rStyle w:val="13"/>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996F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E3438">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4E3438">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4C1EE">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82B58">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C47D2">
    <w:pPr>
      <w:pStyle w:val="7"/>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C1889">
                          <w:pPr>
                            <w:pStyle w:val="7"/>
                            <w:keepNext w:val="0"/>
                            <w:keepLines w:val="0"/>
                            <w:pageBreakBefore w:val="0"/>
                            <w:widowControl w:val="0"/>
                            <w:kinsoku/>
                            <w:wordWrap/>
                            <w:overflowPunct/>
                            <w:topLinePunct w:val="0"/>
                            <w:autoSpaceDE/>
                            <w:autoSpaceDN/>
                            <w:bidi w:val="0"/>
                            <w:adjustRightInd/>
                            <w:snapToGrid w:val="0"/>
                            <w:textAlignment w:val="auto"/>
                            <w:rPr>
                              <w:rStyle w:val="13"/>
                              <w:rFonts w:ascii="Times New Roman" w:hAnsi="Times New Roman"/>
                              <w:sz w:val="28"/>
                              <w:szCs w:val="28"/>
                            </w:rPr>
                          </w:pPr>
                          <w:r>
                            <w:rPr>
                              <w:rStyle w:val="13"/>
                              <w:rFonts w:ascii="Times New Roman" w:hAnsi="Times New Roman"/>
                              <w:sz w:val="28"/>
                              <w:szCs w:val="28"/>
                            </w:rPr>
                            <w:t xml:space="preserve">— </w:t>
                          </w:r>
                          <w:r>
                            <w:rPr>
                              <w:rStyle w:val="13"/>
                              <w:rFonts w:ascii="Times New Roman" w:hAnsi="Times New Roman"/>
                              <w:sz w:val="28"/>
                              <w:szCs w:val="28"/>
                            </w:rPr>
                            <w:fldChar w:fldCharType="begin"/>
                          </w:r>
                          <w:r>
                            <w:rPr>
                              <w:rStyle w:val="13"/>
                              <w:rFonts w:ascii="Times New Roman" w:hAnsi="Times New Roman"/>
                              <w:sz w:val="28"/>
                              <w:szCs w:val="28"/>
                            </w:rPr>
                            <w:instrText xml:space="preserve"> PAGE  \* MERGEFORMAT </w:instrText>
                          </w:r>
                          <w:r>
                            <w:rPr>
                              <w:rStyle w:val="13"/>
                              <w:rFonts w:ascii="Times New Roman" w:hAnsi="Times New Roman"/>
                              <w:sz w:val="28"/>
                              <w:szCs w:val="28"/>
                            </w:rPr>
                            <w:fldChar w:fldCharType="separate"/>
                          </w:r>
                          <w:r>
                            <w:rPr>
                              <w:rStyle w:val="13"/>
                              <w:rFonts w:ascii="Times New Roman" w:hAnsi="Times New Roman"/>
                              <w:sz w:val="28"/>
                              <w:szCs w:val="28"/>
                            </w:rPr>
                            <w:t>1</w:t>
                          </w:r>
                          <w:r>
                            <w:rPr>
                              <w:rStyle w:val="13"/>
                              <w:rFonts w:ascii="Times New Roman" w:hAnsi="Times New Roman"/>
                              <w:sz w:val="28"/>
                              <w:szCs w:val="28"/>
                            </w:rPr>
                            <w:fldChar w:fldCharType="end"/>
                          </w:r>
                          <w:r>
                            <w:rPr>
                              <w:rStyle w:val="13"/>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AC1889">
                    <w:pPr>
                      <w:pStyle w:val="7"/>
                      <w:keepNext w:val="0"/>
                      <w:keepLines w:val="0"/>
                      <w:pageBreakBefore w:val="0"/>
                      <w:widowControl w:val="0"/>
                      <w:kinsoku/>
                      <w:wordWrap/>
                      <w:overflowPunct/>
                      <w:topLinePunct w:val="0"/>
                      <w:autoSpaceDE/>
                      <w:autoSpaceDN/>
                      <w:bidi w:val="0"/>
                      <w:adjustRightInd/>
                      <w:snapToGrid w:val="0"/>
                      <w:textAlignment w:val="auto"/>
                      <w:rPr>
                        <w:rStyle w:val="13"/>
                        <w:rFonts w:ascii="Times New Roman" w:hAnsi="Times New Roman"/>
                        <w:sz w:val="28"/>
                        <w:szCs w:val="28"/>
                      </w:rPr>
                    </w:pPr>
                    <w:r>
                      <w:rPr>
                        <w:rStyle w:val="13"/>
                        <w:rFonts w:ascii="Times New Roman" w:hAnsi="Times New Roman"/>
                        <w:sz w:val="28"/>
                        <w:szCs w:val="28"/>
                      </w:rPr>
                      <w:t xml:space="preserve">— </w:t>
                    </w:r>
                    <w:r>
                      <w:rPr>
                        <w:rStyle w:val="13"/>
                        <w:rFonts w:ascii="Times New Roman" w:hAnsi="Times New Roman"/>
                        <w:sz w:val="28"/>
                        <w:szCs w:val="28"/>
                      </w:rPr>
                      <w:fldChar w:fldCharType="begin"/>
                    </w:r>
                    <w:r>
                      <w:rPr>
                        <w:rStyle w:val="13"/>
                        <w:rFonts w:ascii="Times New Roman" w:hAnsi="Times New Roman"/>
                        <w:sz w:val="28"/>
                        <w:szCs w:val="28"/>
                      </w:rPr>
                      <w:instrText xml:space="preserve"> PAGE  \* MERGEFORMAT </w:instrText>
                    </w:r>
                    <w:r>
                      <w:rPr>
                        <w:rStyle w:val="13"/>
                        <w:rFonts w:ascii="Times New Roman" w:hAnsi="Times New Roman"/>
                        <w:sz w:val="28"/>
                        <w:szCs w:val="28"/>
                      </w:rPr>
                      <w:fldChar w:fldCharType="separate"/>
                    </w:r>
                    <w:r>
                      <w:rPr>
                        <w:rStyle w:val="13"/>
                        <w:rFonts w:ascii="Times New Roman" w:hAnsi="Times New Roman"/>
                        <w:sz w:val="28"/>
                        <w:szCs w:val="28"/>
                      </w:rPr>
                      <w:t>1</w:t>
                    </w:r>
                    <w:r>
                      <w:rPr>
                        <w:rStyle w:val="13"/>
                        <w:rFonts w:ascii="Times New Roman" w:hAnsi="Times New Roman"/>
                        <w:sz w:val="28"/>
                        <w:szCs w:val="28"/>
                      </w:rPr>
                      <w:fldChar w:fldCharType="end"/>
                    </w:r>
                    <w:r>
                      <w:rPr>
                        <w:rStyle w:val="13"/>
                        <w:rFonts w:ascii="Times New Roman" w:hAnsi="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C97B">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0D7F2">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50D7F2">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40F67"/>
    <w:multiLevelType w:val="singleLevel"/>
    <w:tmpl w:val="85240F67"/>
    <w:lvl w:ilvl="0" w:tentative="0">
      <w:start w:val="1"/>
      <w:numFmt w:val="chineseCounting"/>
      <w:suff w:val="nothing"/>
      <w:lvlText w:val="%1、"/>
      <w:lvlJc w:val="left"/>
      <w:rPr>
        <w:rFonts w:hint="eastAsia"/>
      </w:rPr>
    </w:lvl>
  </w:abstractNum>
  <w:abstractNum w:abstractNumId="1">
    <w:nsid w:val="859EDEBC"/>
    <w:multiLevelType w:val="singleLevel"/>
    <w:tmpl w:val="859EDEBC"/>
    <w:lvl w:ilvl="0" w:tentative="0">
      <w:start w:val="2"/>
      <w:numFmt w:val="chineseCounting"/>
      <w:suff w:val="nothing"/>
      <w:lvlText w:val="（%1）"/>
      <w:lvlJc w:val="left"/>
      <w:rPr>
        <w:rFonts w:hint="eastAsia"/>
      </w:rPr>
    </w:lvl>
  </w:abstractNum>
  <w:abstractNum w:abstractNumId="2">
    <w:nsid w:val="9D55D28C"/>
    <w:multiLevelType w:val="singleLevel"/>
    <w:tmpl w:val="9D55D28C"/>
    <w:lvl w:ilvl="0" w:tentative="0">
      <w:start w:val="1"/>
      <w:numFmt w:val="chineseCounting"/>
      <w:suff w:val="nothing"/>
      <w:lvlText w:val="（%1）"/>
      <w:lvlJc w:val="left"/>
      <w:rPr>
        <w:rFonts w:hint="eastAsia"/>
      </w:rPr>
    </w:lvl>
  </w:abstractNum>
  <w:abstractNum w:abstractNumId="3">
    <w:nsid w:val="3125BD47"/>
    <w:multiLevelType w:val="singleLevel"/>
    <w:tmpl w:val="3125BD47"/>
    <w:lvl w:ilvl="0" w:tentative="0">
      <w:start w:val="4"/>
      <w:numFmt w:val="chineseCounting"/>
      <w:suff w:val="nothing"/>
      <w:lvlText w:val="%1、"/>
      <w:lvlJc w:val="left"/>
      <w:rPr>
        <w:rFonts w:hint="eastAsia"/>
      </w:rPr>
    </w:lvl>
  </w:abstractNum>
  <w:abstractNum w:abstractNumId="4">
    <w:nsid w:val="46974B18"/>
    <w:multiLevelType w:val="singleLevel"/>
    <w:tmpl w:val="46974B18"/>
    <w:lvl w:ilvl="0" w:tentative="0">
      <w:start w:val="8"/>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EF"/>
    <w:rsid w:val="00012C93"/>
    <w:rsid w:val="000734E3"/>
    <w:rsid w:val="000773D5"/>
    <w:rsid w:val="00080625"/>
    <w:rsid w:val="00093B9D"/>
    <w:rsid w:val="00094646"/>
    <w:rsid w:val="000A561A"/>
    <w:rsid w:val="000D5E7F"/>
    <w:rsid w:val="000E2B59"/>
    <w:rsid w:val="000F775C"/>
    <w:rsid w:val="00135131"/>
    <w:rsid w:val="00135395"/>
    <w:rsid w:val="00184AF2"/>
    <w:rsid w:val="001A7CAB"/>
    <w:rsid w:val="001B56F4"/>
    <w:rsid w:val="001B69B6"/>
    <w:rsid w:val="001B6D56"/>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3FD5"/>
    <w:rsid w:val="00474AD0"/>
    <w:rsid w:val="00487AC5"/>
    <w:rsid w:val="00496F05"/>
    <w:rsid w:val="00537950"/>
    <w:rsid w:val="00551D43"/>
    <w:rsid w:val="00566BA9"/>
    <w:rsid w:val="00581EEE"/>
    <w:rsid w:val="005851E9"/>
    <w:rsid w:val="00591495"/>
    <w:rsid w:val="00594AEE"/>
    <w:rsid w:val="006264B7"/>
    <w:rsid w:val="006964D9"/>
    <w:rsid w:val="006F37DA"/>
    <w:rsid w:val="007123D7"/>
    <w:rsid w:val="00713B58"/>
    <w:rsid w:val="00751BF0"/>
    <w:rsid w:val="00764972"/>
    <w:rsid w:val="00771B0E"/>
    <w:rsid w:val="007A6F2C"/>
    <w:rsid w:val="007B3731"/>
    <w:rsid w:val="007C3C5A"/>
    <w:rsid w:val="007E2D1B"/>
    <w:rsid w:val="007E3E71"/>
    <w:rsid w:val="008241E1"/>
    <w:rsid w:val="00847A3C"/>
    <w:rsid w:val="00893AEC"/>
    <w:rsid w:val="00940D4A"/>
    <w:rsid w:val="00971DB4"/>
    <w:rsid w:val="0097394E"/>
    <w:rsid w:val="009D0C0A"/>
    <w:rsid w:val="00A0127D"/>
    <w:rsid w:val="00A148B9"/>
    <w:rsid w:val="00A2187E"/>
    <w:rsid w:val="00A3605E"/>
    <w:rsid w:val="00A377C0"/>
    <w:rsid w:val="00A55C61"/>
    <w:rsid w:val="00A801F4"/>
    <w:rsid w:val="00AB3D19"/>
    <w:rsid w:val="00AC12C1"/>
    <w:rsid w:val="00AC5F31"/>
    <w:rsid w:val="00AF15ED"/>
    <w:rsid w:val="00B049DD"/>
    <w:rsid w:val="00B17D23"/>
    <w:rsid w:val="00B62F82"/>
    <w:rsid w:val="00B702EE"/>
    <w:rsid w:val="00B86511"/>
    <w:rsid w:val="00B86BA1"/>
    <w:rsid w:val="00B9399A"/>
    <w:rsid w:val="00BD4955"/>
    <w:rsid w:val="00C23636"/>
    <w:rsid w:val="00C553EF"/>
    <w:rsid w:val="00C641BD"/>
    <w:rsid w:val="00C91F4C"/>
    <w:rsid w:val="00C9428C"/>
    <w:rsid w:val="00CC6012"/>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137EB"/>
    <w:rsid w:val="00F2080B"/>
    <w:rsid w:val="00F55DE1"/>
    <w:rsid w:val="00FA2BB2"/>
    <w:rsid w:val="00FC450D"/>
    <w:rsid w:val="00FD081E"/>
    <w:rsid w:val="00FE100B"/>
    <w:rsid w:val="00FE4826"/>
    <w:rsid w:val="013056AD"/>
    <w:rsid w:val="01F01BD2"/>
    <w:rsid w:val="026643CE"/>
    <w:rsid w:val="028D58A7"/>
    <w:rsid w:val="03043E77"/>
    <w:rsid w:val="041D6583"/>
    <w:rsid w:val="04812FB5"/>
    <w:rsid w:val="048542B1"/>
    <w:rsid w:val="056A1C9B"/>
    <w:rsid w:val="05940AC6"/>
    <w:rsid w:val="05F6352F"/>
    <w:rsid w:val="0721282E"/>
    <w:rsid w:val="07266B25"/>
    <w:rsid w:val="073232DE"/>
    <w:rsid w:val="076170CE"/>
    <w:rsid w:val="077C1812"/>
    <w:rsid w:val="07CA07CF"/>
    <w:rsid w:val="08DB07BA"/>
    <w:rsid w:val="0B156206"/>
    <w:rsid w:val="0C6E1671"/>
    <w:rsid w:val="0C720BB8"/>
    <w:rsid w:val="0D0A27DE"/>
    <w:rsid w:val="0D4E7778"/>
    <w:rsid w:val="0DC146DB"/>
    <w:rsid w:val="0E211365"/>
    <w:rsid w:val="0E905A81"/>
    <w:rsid w:val="0F262ACD"/>
    <w:rsid w:val="0F5372FC"/>
    <w:rsid w:val="0F954436"/>
    <w:rsid w:val="0F9B6554"/>
    <w:rsid w:val="0FFCE810"/>
    <w:rsid w:val="101D790A"/>
    <w:rsid w:val="10563548"/>
    <w:rsid w:val="10CA7EC9"/>
    <w:rsid w:val="11466D2F"/>
    <w:rsid w:val="117F262B"/>
    <w:rsid w:val="124815D7"/>
    <w:rsid w:val="127777A6"/>
    <w:rsid w:val="12FEB070"/>
    <w:rsid w:val="138F0C55"/>
    <w:rsid w:val="13C379CA"/>
    <w:rsid w:val="13D6674E"/>
    <w:rsid w:val="13FE7A9D"/>
    <w:rsid w:val="14304358"/>
    <w:rsid w:val="15347BD0"/>
    <w:rsid w:val="15BB3E4D"/>
    <w:rsid w:val="15D0DEA2"/>
    <w:rsid w:val="15DA6FC6"/>
    <w:rsid w:val="16821F2F"/>
    <w:rsid w:val="16E3EEB1"/>
    <w:rsid w:val="178169D1"/>
    <w:rsid w:val="17F3D512"/>
    <w:rsid w:val="188B773F"/>
    <w:rsid w:val="18934E7A"/>
    <w:rsid w:val="19947DB1"/>
    <w:rsid w:val="19957A1E"/>
    <w:rsid w:val="19A8293B"/>
    <w:rsid w:val="1A6002AF"/>
    <w:rsid w:val="1A6751A7"/>
    <w:rsid w:val="1AB82D62"/>
    <w:rsid w:val="1B4E4C23"/>
    <w:rsid w:val="1BA86C22"/>
    <w:rsid w:val="1BD23C9F"/>
    <w:rsid w:val="1BFD4C19"/>
    <w:rsid w:val="1C5D3A88"/>
    <w:rsid w:val="1CC31703"/>
    <w:rsid w:val="1D330380"/>
    <w:rsid w:val="1D4D4A4E"/>
    <w:rsid w:val="1D9E652E"/>
    <w:rsid w:val="1E3C19C5"/>
    <w:rsid w:val="1E8F7C25"/>
    <w:rsid w:val="1F974FE3"/>
    <w:rsid w:val="1FFB6ACC"/>
    <w:rsid w:val="203E1903"/>
    <w:rsid w:val="2114213B"/>
    <w:rsid w:val="217D46AD"/>
    <w:rsid w:val="21CC5420"/>
    <w:rsid w:val="23172EBC"/>
    <w:rsid w:val="23D83E1C"/>
    <w:rsid w:val="244D0366"/>
    <w:rsid w:val="25D72DB2"/>
    <w:rsid w:val="25D85F35"/>
    <w:rsid w:val="25EC8D2D"/>
    <w:rsid w:val="26543A86"/>
    <w:rsid w:val="27E17743"/>
    <w:rsid w:val="28703145"/>
    <w:rsid w:val="28970B00"/>
    <w:rsid w:val="28C71674"/>
    <w:rsid w:val="2BCFAFF3"/>
    <w:rsid w:val="2C041A4C"/>
    <w:rsid w:val="2C3D508F"/>
    <w:rsid w:val="2CA61530"/>
    <w:rsid w:val="2D84648D"/>
    <w:rsid w:val="2DD96ECB"/>
    <w:rsid w:val="2E660FDE"/>
    <w:rsid w:val="2ED0406E"/>
    <w:rsid w:val="2EF54463"/>
    <w:rsid w:val="2EF75A9F"/>
    <w:rsid w:val="2F66176D"/>
    <w:rsid w:val="2F734F7B"/>
    <w:rsid w:val="2F7FB153"/>
    <w:rsid w:val="2F8F725C"/>
    <w:rsid w:val="2FB60CE2"/>
    <w:rsid w:val="30EE2ED1"/>
    <w:rsid w:val="31774C75"/>
    <w:rsid w:val="31A6555A"/>
    <w:rsid w:val="32EE7A3B"/>
    <w:rsid w:val="33BF7120"/>
    <w:rsid w:val="33DCD58C"/>
    <w:rsid w:val="35A26AC9"/>
    <w:rsid w:val="35BA008B"/>
    <w:rsid w:val="35BC70FA"/>
    <w:rsid w:val="35BFE4EE"/>
    <w:rsid w:val="36484E32"/>
    <w:rsid w:val="369E4A52"/>
    <w:rsid w:val="3721576A"/>
    <w:rsid w:val="372B3420"/>
    <w:rsid w:val="377DFA0B"/>
    <w:rsid w:val="37AB2093"/>
    <w:rsid w:val="37E73B0C"/>
    <w:rsid w:val="3809239F"/>
    <w:rsid w:val="381E34CD"/>
    <w:rsid w:val="38C95054"/>
    <w:rsid w:val="39534219"/>
    <w:rsid w:val="398B5761"/>
    <w:rsid w:val="398C5748"/>
    <w:rsid w:val="39CC238F"/>
    <w:rsid w:val="39FEEAB8"/>
    <w:rsid w:val="3A0848B9"/>
    <w:rsid w:val="3A7C154E"/>
    <w:rsid w:val="3AB7044A"/>
    <w:rsid w:val="3ACDBA76"/>
    <w:rsid w:val="3ACF4B4A"/>
    <w:rsid w:val="3B00777A"/>
    <w:rsid w:val="3B5F2C20"/>
    <w:rsid w:val="3BEB0739"/>
    <w:rsid w:val="3CBC3E83"/>
    <w:rsid w:val="3CF4361D"/>
    <w:rsid w:val="3D3037BD"/>
    <w:rsid w:val="3D7AA301"/>
    <w:rsid w:val="3D962926"/>
    <w:rsid w:val="3DDF1860"/>
    <w:rsid w:val="3DEE04F2"/>
    <w:rsid w:val="3DFA0B52"/>
    <w:rsid w:val="3DFDA4A4"/>
    <w:rsid w:val="3E0007D6"/>
    <w:rsid w:val="3E25233C"/>
    <w:rsid w:val="3E7F172B"/>
    <w:rsid w:val="3E96597D"/>
    <w:rsid w:val="3EA7D14B"/>
    <w:rsid w:val="3EF797DD"/>
    <w:rsid w:val="3F1E00B1"/>
    <w:rsid w:val="3F52287D"/>
    <w:rsid w:val="3F5C8197"/>
    <w:rsid w:val="3F6D48F7"/>
    <w:rsid w:val="400022D9"/>
    <w:rsid w:val="4013200C"/>
    <w:rsid w:val="405718FF"/>
    <w:rsid w:val="406C2E26"/>
    <w:rsid w:val="414508EB"/>
    <w:rsid w:val="416B7C26"/>
    <w:rsid w:val="41C61B6B"/>
    <w:rsid w:val="422C5607"/>
    <w:rsid w:val="424E557E"/>
    <w:rsid w:val="429E1C41"/>
    <w:rsid w:val="42FF3637"/>
    <w:rsid w:val="436750FB"/>
    <w:rsid w:val="43677945"/>
    <w:rsid w:val="43952E0D"/>
    <w:rsid w:val="44A616A1"/>
    <w:rsid w:val="44A75419"/>
    <w:rsid w:val="452D3B70"/>
    <w:rsid w:val="45A81B55"/>
    <w:rsid w:val="46B34549"/>
    <w:rsid w:val="46CB0D6C"/>
    <w:rsid w:val="47B9B0AC"/>
    <w:rsid w:val="47DF1262"/>
    <w:rsid w:val="48E1D0D6"/>
    <w:rsid w:val="49326ECC"/>
    <w:rsid w:val="49697141"/>
    <w:rsid w:val="4A6659EB"/>
    <w:rsid w:val="4B0C5FD6"/>
    <w:rsid w:val="4B7C1F28"/>
    <w:rsid w:val="4BD50ABE"/>
    <w:rsid w:val="4BE54CF1"/>
    <w:rsid w:val="4D865CEC"/>
    <w:rsid w:val="4EC70B92"/>
    <w:rsid w:val="4EFDB9AA"/>
    <w:rsid w:val="506A3ECB"/>
    <w:rsid w:val="50DC348A"/>
    <w:rsid w:val="51AF2A92"/>
    <w:rsid w:val="51FF6264"/>
    <w:rsid w:val="523A5B1F"/>
    <w:rsid w:val="53764934"/>
    <w:rsid w:val="53D86B05"/>
    <w:rsid w:val="53EC6796"/>
    <w:rsid w:val="53FA17C2"/>
    <w:rsid w:val="54AB6860"/>
    <w:rsid w:val="551B611D"/>
    <w:rsid w:val="55552713"/>
    <w:rsid w:val="560C332E"/>
    <w:rsid w:val="56B2F016"/>
    <w:rsid w:val="56F12761"/>
    <w:rsid w:val="57AF6667"/>
    <w:rsid w:val="57EF4CB5"/>
    <w:rsid w:val="58647451"/>
    <w:rsid w:val="596021C9"/>
    <w:rsid w:val="59778D90"/>
    <w:rsid w:val="59B91A1F"/>
    <w:rsid w:val="59F3663D"/>
    <w:rsid w:val="5A1C5FBD"/>
    <w:rsid w:val="5AEB7D90"/>
    <w:rsid w:val="5BBFFE6A"/>
    <w:rsid w:val="5C2F64BB"/>
    <w:rsid w:val="5D7F63FD"/>
    <w:rsid w:val="5DB25F7C"/>
    <w:rsid w:val="5DF41277"/>
    <w:rsid w:val="5E8B1BDC"/>
    <w:rsid w:val="5EBF6459"/>
    <w:rsid w:val="5EC7073A"/>
    <w:rsid w:val="5EE30B66"/>
    <w:rsid w:val="5F4678B1"/>
    <w:rsid w:val="5F5DA046"/>
    <w:rsid w:val="5F7F0AE5"/>
    <w:rsid w:val="5FB82473"/>
    <w:rsid w:val="5FBC1B36"/>
    <w:rsid w:val="5FD7C2A9"/>
    <w:rsid w:val="5FFEA409"/>
    <w:rsid w:val="603E4A2C"/>
    <w:rsid w:val="609A4BD3"/>
    <w:rsid w:val="619C3679"/>
    <w:rsid w:val="61F25ACE"/>
    <w:rsid w:val="620B6B90"/>
    <w:rsid w:val="62976675"/>
    <w:rsid w:val="62F62474"/>
    <w:rsid w:val="63DF2082"/>
    <w:rsid w:val="63E61C84"/>
    <w:rsid w:val="640815D9"/>
    <w:rsid w:val="6418674C"/>
    <w:rsid w:val="641F4B74"/>
    <w:rsid w:val="64664551"/>
    <w:rsid w:val="6486074F"/>
    <w:rsid w:val="64D94D23"/>
    <w:rsid w:val="64FFD0B9"/>
    <w:rsid w:val="655E3925"/>
    <w:rsid w:val="6615379C"/>
    <w:rsid w:val="66B91727"/>
    <w:rsid w:val="66DE91D7"/>
    <w:rsid w:val="66FBB1F5"/>
    <w:rsid w:val="67656D42"/>
    <w:rsid w:val="67CE2B39"/>
    <w:rsid w:val="68000CD8"/>
    <w:rsid w:val="683222FC"/>
    <w:rsid w:val="696F7727"/>
    <w:rsid w:val="6A174CE6"/>
    <w:rsid w:val="6AF80B9B"/>
    <w:rsid w:val="6BA3773F"/>
    <w:rsid w:val="6BA53000"/>
    <w:rsid w:val="6BAD2A66"/>
    <w:rsid w:val="6BE93D46"/>
    <w:rsid w:val="6BEECCDB"/>
    <w:rsid w:val="6BFAE80B"/>
    <w:rsid w:val="6BFD3E20"/>
    <w:rsid w:val="6BFF1E79"/>
    <w:rsid w:val="6CA4DA85"/>
    <w:rsid w:val="6CBE317C"/>
    <w:rsid w:val="6CDD1069"/>
    <w:rsid w:val="6CDE3E9F"/>
    <w:rsid w:val="6CE56D48"/>
    <w:rsid w:val="6CEA29ED"/>
    <w:rsid w:val="6CFF4B3A"/>
    <w:rsid w:val="6ECBD776"/>
    <w:rsid w:val="6EECB923"/>
    <w:rsid w:val="6EFA84BC"/>
    <w:rsid w:val="6F03526E"/>
    <w:rsid w:val="6F767D3E"/>
    <w:rsid w:val="6F9EB1CF"/>
    <w:rsid w:val="6FB862DF"/>
    <w:rsid w:val="6FDCBB54"/>
    <w:rsid w:val="6FE6337A"/>
    <w:rsid w:val="70294DB1"/>
    <w:rsid w:val="71125845"/>
    <w:rsid w:val="71612DAC"/>
    <w:rsid w:val="71793B16"/>
    <w:rsid w:val="728269FA"/>
    <w:rsid w:val="72D94035"/>
    <w:rsid w:val="72EDD83C"/>
    <w:rsid w:val="73353A6C"/>
    <w:rsid w:val="73535B3B"/>
    <w:rsid w:val="737E170B"/>
    <w:rsid w:val="73BF42A3"/>
    <w:rsid w:val="73F0445E"/>
    <w:rsid w:val="73F82A9F"/>
    <w:rsid w:val="74883E48"/>
    <w:rsid w:val="74E93298"/>
    <w:rsid w:val="756F4463"/>
    <w:rsid w:val="75FB670C"/>
    <w:rsid w:val="7623CAEB"/>
    <w:rsid w:val="76291BD2"/>
    <w:rsid w:val="76BD6C3D"/>
    <w:rsid w:val="770245AD"/>
    <w:rsid w:val="773A3B3B"/>
    <w:rsid w:val="776F98B6"/>
    <w:rsid w:val="777BB05F"/>
    <w:rsid w:val="777F1770"/>
    <w:rsid w:val="77A16A4F"/>
    <w:rsid w:val="77A24B7F"/>
    <w:rsid w:val="77AC5F48"/>
    <w:rsid w:val="77EF11DC"/>
    <w:rsid w:val="77F73402"/>
    <w:rsid w:val="77F924F0"/>
    <w:rsid w:val="77FEAE39"/>
    <w:rsid w:val="78FA0D95"/>
    <w:rsid w:val="793FEF83"/>
    <w:rsid w:val="79766B8D"/>
    <w:rsid w:val="79959484"/>
    <w:rsid w:val="79F74E56"/>
    <w:rsid w:val="7A4C62B8"/>
    <w:rsid w:val="7A91EDDD"/>
    <w:rsid w:val="7A97325F"/>
    <w:rsid w:val="7ABA01CC"/>
    <w:rsid w:val="7ADF30E2"/>
    <w:rsid w:val="7B3FF409"/>
    <w:rsid w:val="7B6D1802"/>
    <w:rsid w:val="7B77B055"/>
    <w:rsid w:val="7B981FC2"/>
    <w:rsid w:val="7BAD1CBD"/>
    <w:rsid w:val="7BB97518"/>
    <w:rsid w:val="7BD81CBD"/>
    <w:rsid w:val="7BDFC495"/>
    <w:rsid w:val="7BED7381"/>
    <w:rsid w:val="7BED9743"/>
    <w:rsid w:val="7BFD8D60"/>
    <w:rsid w:val="7BFFB8D8"/>
    <w:rsid w:val="7C2154D6"/>
    <w:rsid w:val="7D7FF15B"/>
    <w:rsid w:val="7DC162AC"/>
    <w:rsid w:val="7DFE8484"/>
    <w:rsid w:val="7E14132D"/>
    <w:rsid w:val="7E7FE1B6"/>
    <w:rsid w:val="7EDD0059"/>
    <w:rsid w:val="7F0F1931"/>
    <w:rsid w:val="7F3FA337"/>
    <w:rsid w:val="7F4A2182"/>
    <w:rsid w:val="7F531EB8"/>
    <w:rsid w:val="7F761818"/>
    <w:rsid w:val="7F8BACC3"/>
    <w:rsid w:val="7F910F92"/>
    <w:rsid w:val="7F9DC115"/>
    <w:rsid w:val="7FA2248A"/>
    <w:rsid w:val="7FA38719"/>
    <w:rsid w:val="7FB2C777"/>
    <w:rsid w:val="7FB7B1DF"/>
    <w:rsid w:val="7FCF7CF7"/>
    <w:rsid w:val="7FCFB054"/>
    <w:rsid w:val="7FD27024"/>
    <w:rsid w:val="7FDFB0AC"/>
    <w:rsid w:val="7FDFCCD3"/>
    <w:rsid w:val="7FDFF8E4"/>
    <w:rsid w:val="7FF57F51"/>
    <w:rsid w:val="7FFA2A1C"/>
    <w:rsid w:val="7FFB50C2"/>
    <w:rsid w:val="7FFBE32C"/>
    <w:rsid w:val="7FFE9E2A"/>
    <w:rsid w:val="8BFAA294"/>
    <w:rsid w:val="976F694F"/>
    <w:rsid w:val="9C5F632C"/>
    <w:rsid w:val="9F7FF93C"/>
    <w:rsid w:val="9FBB1941"/>
    <w:rsid w:val="A738AF36"/>
    <w:rsid w:val="ADF5A5A5"/>
    <w:rsid w:val="AF9325F9"/>
    <w:rsid w:val="B569F7FB"/>
    <w:rsid w:val="B6B92FF1"/>
    <w:rsid w:val="B6F3F1F1"/>
    <w:rsid w:val="B6F4AEA2"/>
    <w:rsid w:val="B7FFF551"/>
    <w:rsid w:val="B92DFAEB"/>
    <w:rsid w:val="B9EB4311"/>
    <w:rsid w:val="BA3A923E"/>
    <w:rsid w:val="BA75694F"/>
    <w:rsid w:val="BAF76AB0"/>
    <w:rsid w:val="BB35ABE3"/>
    <w:rsid w:val="BC9D7F54"/>
    <w:rsid w:val="BD6908A6"/>
    <w:rsid w:val="BD6984AC"/>
    <w:rsid w:val="BDBF6DFE"/>
    <w:rsid w:val="BDDF99AE"/>
    <w:rsid w:val="BDF11CA1"/>
    <w:rsid w:val="BDFF2DD2"/>
    <w:rsid w:val="BDFF64E1"/>
    <w:rsid w:val="BE857C54"/>
    <w:rsid w:val="BEB50ADE"/>
    <w:rsid w:val="BF476D14"/>
    <w:rsid w:val="BFBE677D"/>
    <w:rsid w:val="BFFF86ED"/>
    <w:rsid w:val="CFCCA20E"/>
    <w:rsid w:val="D1DA0989"/>
    <w:rsid w:val="D5FDB331"/>
    <w:rsid w:val="D61A75A0"/>
    <w:rsid w:val="D7FDD3F1"/>
    <w:rsid w:val="DA9ED8A8"/>
    <w:rsid w:val="DBF7CD3B"/>
    <w:rsid w:val="DBFDDBBF"/>
    <w:rsid w:val="DBFF91F8"/>
    <w:rsid w:val="DEF63B7C"/>
    <w:rsid w:val="DEFFFD71"/>
    <w:rsid w:val="DF362510"/>
    <w:rsid w:val="DFEF4640"/>
    <w:rsid w:val="DFF17E6F"/>
    <w:rsid w:val="DFFED68A"/>
    <w:rsid w:val="E1F7E40A"/>
    <w:rsid w:val="E2B2B054"/>
    <w:rsid w:val="E4FFD7F3"/>
    <w:rsid w:val="E64EF76A"/>
    <w:rsid w:val="E6FDB054"/>
    <w:rsid w:val="E7F70088"/>
    <w:rsid w:val="E87F8D7D"/>
    <w:rsid w:val="EAF7EE20"/>
    <w:rsid w:val="ED2FE58B"/>
    <w:rsid w:val="EDDE27A0"/>
    <w:rsid w:val="EDFEEEA0"/>
    <w:rsid w:val="EE6D4159"/>
    <w:rsid w:val="EEEF4D67"/>
    <w:rsid w:val="EFF7B64C"/>
    <w:rsid w:val="EFFDC3A8"/>
    <w:rsid w:val="F39B95C2"/>
    <w:rsid w:val="F4F5CEB4"/>
    <w:rsid w:val="F5DF79E0"/>
    <w:rsid w:val="F677435A"/>
    <w:rsid w:val="F7AF5459"/>
    <w:rsid w:val="F7D5CBFC"/>
    <w:rsid w:val="F7D71A0E"/>
    <w:rsid w:val="F7D9CF82"/>
    <w:rsid w:val="F7DE5DE2"/>
    <w:rsid w:val="F7FFBEDD"/>
    <w:rsid w:val="F8F7FC99"/>
    <w:rsid w:val="F9DB223B"/>
    <w:rsid w:val="F9DFBEAD"/>
    <w:rsid w:val="FA556965"/>
    <w:rsid w:val="FA7B9B7E"/>
    <w:rsid w:val="FB2EBF9B"/>
    <w:rsid w:val="FB3C15DC"/>
    <w:rsid w:val="FB7F1E0C"/>
    <w:rsid w:val="FBA784B3"/>
    <w:rsid w:val="FBB64E72"/>
    <w:rsid w:val="FBEBAE42"/>
    <w:rsid w:val="FBFB27F9"/>
    <w:rsid w:val="FBFE99C1"/>
    <w:rsid w:val="FBFFFA64"/>
    <w:rsid w:val="FCF70366"/>
    <w:rsid w:val="FDAC06EA"/>
    <w:rsid w:val="FDF79FE9"/>
    <w:rsid w:val="FE37A6C9"/>
    <w:rsid w:val="FED72654"/>
    <w:rsid w:val="FEE63AE4"/>
    <w:rsid w:val="FEF7058E"/>
    <w:rsid w:val="FEFA4F82"/>
    <w:rsid w:val="FF394CB1"/>
    <w:rsid w:val="FF47E5F5"/>
    <w:rsid w:val="FF55F275"/>
    <w:rsid w:val="FF7E5F9B"/>
    <w:rsid w:val="FF7FACD8"/>
    <w:rsid w:val="FFAFFC29"/>
    <w:rsid w:val="FFEFB176"/>
    <w:rsid w:val="FFF6060F"/>
    <w:rsid w:val="FFFE1EF7"/>
    <w:rsid w:val="FFFEEAC1"/>
    <w:rsid w:val="FFFEF27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locked/>
    <w:uiPriority w:val="0"/>
    <w:pPr>
      <w:keepNext/>
      <w:keepLines/>
      <w:snapToGrid w:val="0"/>
      <w:spacing w:before="100" w:beforeLines="100" w:beforeAutospacing="0" w:afterLines="0" w:afterAutospacing="0" w:line="360" w:lineRule="auto"/>
      <w:ind w:left="440" w:leftChars="200"/>
      <w:jc w:val="left"/>
      <w:outlineLvl w:val="1"/>
    </w:pPr>
    <w:rPr>
      <w:rFonts w:ascii="Arial" w:hAnsi="Arial" w:eastAsia="楷体"/>
      <w:b/>
      <w:sz w:val="32"/>
    </w:rPr>
  </w:style>
  <w:style w:type="paragraph" w:styleId="2">
    <w:name w:val="heading 4"/>
    <w:basedOn w:val="1"/>
    <w:next w:val="1"/>
    <w:unhideWhenUsed/>
    <w:qFormat/>
    <w:locked/>
    <w:uiPriority w:val="0"/>
    <w:pPr>
      <w:keepNext/>
      <w:keepLines/>
      <w:spacing w:before="280" w:beforeLines="0" w:beforeAutospacing="0" w:after="290" w:afterLines="0" w:afterAutospacing="0" w:line="372" w:lineRule="auto"/>
      <w:ind w:leftChars="200"/>
      <w:outlineLvl w:val="3"/>
    </w:pPr>
    <w:rPr>
      <w:rFonts w:ascii="Arial" w:hAnsi="Arial" w:eastAsia="仿宋"/>
      <w:b/>
      <w:sz w:val="28"/>
      <w:szCs w:val="2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99"/>
    <w:pPr>
      <w:jc w:val="left"/>
    </w:pPr>
    <w:rPr>
      <w:rFonts w:ascii="Times New Roman" w:hAnsi="Times New Roman"/>
      <w:szCs w:val="24"/>
    </w:rPr>
  </w:style>
  <w:style w:type="paragraph" w:styleId="5">
    <w:name w:val="Body Text"/>
    <w:basedOn w:val="1"/>
    <w:qFormat/>
    <w:uiPriority w:val="1"/>
    <w:rPr>
      <w:rFonts w:asciiTheme="minorHAnsi" w:hAnsiTheme="minorHAnsi" w:eastAsiaTheme="minorEastAsia" w:cstheme="minorBidi"/>
      <w:sz w:val="32"/>
      <w:szCs w:val="32"/>
    </w:rPr>
  </w:style>
  <w:style w:type="paragraph" w:styleId="6">
    <w:name w:val="Balloon Text"/>
    <w:basedOn w:val="1"/>
    <w:link w:val="17"/>
    <w:qFormat/>
    <w:uiPriority w:val="99"/>
    <w:rPr>
      <w:rFonts w:ascii="Times New Roman" w:hAnsi="Times New Roman"/>
      <w:sz w:val="18"/>
      <w:szCs w:val="18"/>
    </w:rPr>
  </w:style>
  <w:style w:type="paragraph" w:styleId="7">
    <w:name w:val="footer"/>
    <w:basedOn w:val="1"/>
    <w:next w:val="1"/>
    <w:link w:val="18"/>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3">
    <w:name w:val="page number"/>
    <w:basedOn w:val="12"/>
    <w:qFormat/>
    <w:uiPriority w:val="99"/>
    <w:rPr>
      <w:rFonts w:cs="Times New Roman"/>
    </w:rPr>
  </w:style>
  <w:style w:type="character" w:styleId="14">
    <w:name w:val="annotation reference"/>
    <w:basedOn w:val="12"/>
    <w:qFormat/>
    <w:uiPriority w:val="99"/>
    <w:rPr>
      <w:rFonts w:cs="Times New Roman"/>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Char"/>
    <w:basedOn w:val="12"/>
    <w:link w:val="4"/>
    <w:qFormat/>
    <w:locked/>
    <w:uiPriority w:val="99"/>
    <w:rPr>
      <w:rFonts w:ascii="Times New Roman" w:hAnsi="Times New Roman" w:eastAsia="宋体" w:cs="Times New Roman"/>
      <w:sz w:val="24"/>
      <w:szCs w:val="24"/>
    </w:rPr>
  </w:style>
  <w:style w:type="character" w:customStyle="1" w:styleId="17">
    <w:name w:val="批注框文本 Char"/>
    <w:basedOn w:val="12"/>
    <w:link w:val="6"/>
    <w:qFormat/>
    <w:locked/>
    <w:uiPriority w:val="99"/>
    <w:rPr>
      <w:rFonts w:ascii="Times New Roman" w:hAnsi="Times New Roman" w:eastAsia="宋体" w:cs="Times New Roman"/>
      <w:sz w:val="18"/>
      <w:szCs w:val="18"/>
    </w:rPr>
  </w:style>
  <w:style w:type="character" w:customStyle="1" w:styleId="18">
    <w:name w:val="页脚 Char"/>
    <w:basedOn w:val="12"/>
    <w:link w:val="7"/>
    <w:qFormat/>
    <w:locked/>
    <w:uiPriority w:val="99"/>
    <w:rPr>
      <w:rFonts w:cs="Times New Roman"/>
      <w:sz w:val="18"/>
      <w:szCs w:val="18"/>
    </w:rPr>
  </w:style>
  <w:style w:type="character" w:customStyle="1" w:styleId="19">
    <w:name w:val="页眉 Char"/>
    <w:basedOn w:val="12"/>
    <w:link w:val="8"/>
    <w:qFormat/>
    <w:locked/>
    <w:uiPriority w:val="99"/>
    <w:rPr>
      <w:rFonts w:cs="Times New Roman"/>
      <w:sz w:val="18"/>
      <w:szCs w:val="18"/>
    </w:rPr>
  </w:style>
  <w:style w:type="paragraph" w:customStyle="1" w:styleId="20">
    <w:name w:val="列出段落1"/>
    <w:basedOn w:val="1"/>
    <w:qFormat/>
    <w:uiPriority w:val="99"/>
    <w:pPr>
      <w:ind w:firstLine="420" w:firstLineChars="200"/>
    </w:pPr>
    <w:rPr>
      <w:rFonts w:ascii="Times New Roman" w:hAnsi="Times New Roman"/>
      <w:szCs w:val="24"/>
    </w:rPr>
  </w:style>
  <w:style w:type="paragraph" w:styleId="21">
    <w:name w:val="List Paragraph"/>
    <w:basedOn w:val="1"/>
    <w:qFormat/>
    <w:uiPriority w:val="99"/>
    <w:pPr>
      <w:ind w:firstLine="420" w:firstLineChars="200"/>
    </w:pPr>
    <w:rPr>
      <w:rFonts w:ascii="Times New Roman" w:hAnsi="Times New Roman"/>
      <w:szCs w:val="24"/>
    </w:rPr>
  </w:style>
  <w:style w:type="paragraph" w:customStyle="1" w:styleId="22">
    <w:name w:val="修订1"/>
    <w:hidden/>
    <w:qFormat/>
    <w:uiPriority w:val="99"/>
    <w:rPr>
      <w:rFonts w:ascii="Times New Roman" w:hAnsi="Times New Roman" w:eastAsia="宋体" w:cs="Times New Roman"/>
      <w:kern w:val="2"/>
      <w:sz w:val="21"/>
      <w:szCs w:val="24"/>
      <w:lang w:val="en-US" w:eastAsia="zh-CN" w:bidi="ar-SA"/>
    </w:rPr>
  </w:style>
  <w:style w:type="paragraph" w:customStyle="1" w:styleId="23">
    <w:name w:val="目录标题2"/>
    <w:basedOn w:val="3"/>
    <w:next w:val="1"/>
    <w:qFormat/>
    <w:uiPriority w:val="0"/>
    <w:pPr>
      <w:adjustRightInd w:val="0"/>
      <w:spacing w:beforeLines="0"/>
      <w:ind w:left="0" w:leftChars="0" w:firstLine="643" w:firstLineChars="200"/>
    </w:pPr>
    <w:rPr>
      <w:rFonts w:ascii="Times New Roman" w:hAnsi="Times New Roman" w:eastAsia="楷体_GB2312" w:cs="Times New Roman"/>
      <w:bCs/>
      <w:kern w:val="2"/>
      <w:szCs w:val="32"/>
      <w:lang w:val="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4766</Words>
  <Characters>5144</Characters>
  <Lines>35</Lines>
  <Paragraphs>9</Paragraphs>
  <TotalTime>8</TotalTime>
  <ScaleCrop>false</ScaleCrop>
  <LinksUpToDate>false</LinksUpToDate>
  <CharactersWithSpaces>5154</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2021-01-25T07:42:00Z</dcterms:created>
  <dc:creator>lenovo</dc:creator>
  <cp:lastModifiedBy>好好先生</cp:lastModifiedBy>
  <cp:lastPrinted>2023-04-12T01:55:00Z</cp:lastPrinted>
  <dcterms:modified xsi:type="dcterms:W3CDTF">2024-10-31T02:00:22Z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836453BA9B8E4DF6BF2D660E23B4E5E4_13</vt:lpwstr>
  </property>
</Properties>
</file>