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947D0">
      <w:pPr>
        <w:pStyle w:val="5"/>
        <w:adjustRightInd w:val="0"/>
        <w:snapToGrid w:val="0"/>
        <w:spacing w:before="0" w:after="0" w:line="560" w:lineRule="exact"/>
        <w:rPr>
          <w:rFonts w:ascii="方正小标宋简体" w:eastAsia="方正小标宋简体" w:cs="Times New Roman"/>
          <w:sz w:val="44"/>
          <w:szCs w:val="44"/>
        </w:rPr>
      </w:pPr>
      <w:r>
        <w:rPr>
          <w:rFonts w:ascii="方正小标宋简体" w:eastAsia="方正小标宋简体" w:cs="方正小标宋简体"/>
          <w:sz w:val="44"/>
          <w:szCs w:val="44"/>
        </w:rPr>
        <w:t>20</w:t>
      </w:r>
      <w:r>
        <w:rPr>
          <w:rFonts w:hint="eastAsia" w:ascii="方正小标宋简体" w:eastAsia="方正小标宋简体" w:cs="方正小标宋简体"/>
          <w:sz w:val="44"/>
          <w:szCs w:val="44"/>
        </w:rPr>
        <w:t>21年度市科技局绩效评价报告</w:t>
      </w:r>
    </w:p>
    <w:p w14:paraId="0B900FFB">
      <w:pPr>
        <w:adjustRightInd w:val="0"/>
        <w:snapToGrid w:val="0"/>
        <w:spacing w:line="560" w:lineRule="exact"/>
        <w:jc w:val="left"/>
      </w:pPr>
    </w:p>
    <w:p w14:paraId="298CE8AC">
      <w:pPr>
        <w:widowControl/>
        <w:shd w:val="clear" w:color="auto" w:fill="FFFFFF"/>
        <w:spacing w:line="64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    </w:t>
      </w:r>
      <w:r>
        <w:rPr>
          <w:rFonts w:eastAsia="仿宋"/>
          <w:color w:val="000000"/>
          <w:kern w:val="0"/>
          <w:sz w:val="32"/>
          <w:szCs w:val="32"/>
        </w:rPr>
        <w:t>按照《衡阳市财政局关于开展2021年度预算支出绩效自评工作的通知》要求</w:t>
      </w:r>
      <w:r>
        <w:rPr>
          <w:rFonts w:hint="eastAsia" w:ascii="仿宋" w:hAnsi="仿宋" w:eastAsia="仿宋" w:cs="仿宋"/>
          <w:kern w:val="0"/>
          <w:sz w:val="32"/>
          <w:szCs w:val="32"/>
        </w:rPr>
        <w:t>，我局对</w:t>
      </w:r>
      <w:r>
        <w:rPr>
          <w:rFonts w:ascii="仿宋" w:hAnsi="仿宋" w:eastAsia="仿宋" w:cs="仿宋"/>
          <w:kern w:val="0"/>
          <w:sz w:val="32"/>
          <w:szCs w:val="32"/>
        </w:rPr>
        <w:t>20</w:t>
      </w:r>
      <w:r>
        <w:rPr>
          <w:rFonts w:hint="eastAsia" w:ascii="仿宋" w:hAnsi="仿宋" w:eastAsia="仿宋" w:cs="仿宋"/>
          <w:kern w:val="0"/>
          <w:sz w:val="32"/>
          <w:szCs w:val="32"/>
        </w:rPr>
        <w:t>21年度部门整体支出绩效及2021年度市级科技项目专项资金</w:t>
      </w:r>
      <w:r>
        <w:rPr>
          <w:rFonts w:eastAsia="仿宋"/>
          <w:sz w:val="32"/>
          <w:szCs w:val="32"/>
        </w:rPr>
        <w:t>2201</w:t>
      </w:r>
      <w:r>
        <w:rPr>
          <w:rFonts w:hint="eastAsia" w:ascii="仿宋" w:hAnsi="仿宋" w:eastAsia="仿宋" w:cs="仿宋"/>
          <w:kern w:val="0"/>
          <w:sz w:val="32"/>
          <w:szCs w:val="32"/>
        </w:rPr>
        <w:t>万元进行全面综合的评价，现有关情况报告如下：</w:t>
      </w:r>
    </w:p>
    <w:p w14:paraId="3FD7B366">
      <w:pPr>
        <w:adjustRightInd w:val="0"/>
        <w:snapToGrid w:val="0"/>
        <w:spacing w:line="56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一、2021年度部门整体支出</w:t>
      </w:r>
    </w:p>
    <w:p w14:paraId="4BA1C7A9">
      <w:pPr>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（一）部门概况</w:t>
      </w:r>
      <w:bookmarkStart w:id="1" w:name="_GoBack"/>
      <w:bookmarkEnd w:id="1"/>
    </w:p>
    <w:p w14:paraId="05280A04">
      <w:pPr>
        <w:adjustRightInd w:val="0"/>
        <w:snapToGrid w:val="0"/>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1.部门职能概述。根据《中共湖南省委办公厅湖南省人民政府办公厅关于印发</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衡阳市机构改革方案</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的通知》（湘办〔2018〕</w:t>
      </w:r>
      <w:r>
        <w:rPr>
          <w:rFonts w:ascii="仿宋" w:hAnsi="仿宋" w:eastAsia="仿宋" w:cs="仿宋"/>
          <w:kern w:val="0"/>
          <w:sz w:val="32"/>
          <w:szCs w:val="32"/>
        </w:rPr>
        <w:t>59</w:t>
      </w:r>
      <w:r>
        <w:rPr>
          <w:rFonts w:hint="eastAsia" w:ascii="仿宋" w:hAnsi="仿宋" w:eastAsia="仿宋" w:cs="仿宋"/>
          <w:kern w:val="0"/>
          <w:sz w:val="32"/>
          <w:szCs w:val="32"/>
        </w:rPr>
        <w:t>号）文件精神，我局主要职责包括：贯彻创新驱动发展战略和创新引领开放崛起战略，</w:t>
      </w:r>
      <w:r>
        <w:rPr>
          <w:rFonts w:ascii="仿宋" w:hAnsi="仿宋" w:eastAsia="仿宋" w:cs="仿宋"/>
          <w:kern w:val="0"/>
          <w:sz w:val="32"/>
          <w:szCs w:val="32"/>
        </w:rPr>
        <w:t>拟订</w:t>
      </w:r>
      <w:r>
        <w:rPr>
          <w:rFonts w:hint="eastAsia" w:ascii="仿宋" w:hAnsi="仿宋" w:eastAsia="仿宋" w:cs="仿宋"/>
          <w:kern w:val="0"/>
          <w:sz w:val="32"/>
          <w:szCs w:val="32"/>
        </w:rPr>
        <w:t>全市</w:t>
      </w:r>
      <w:r>
        <w:rPr>
          <w:rFonts w:ascii="仿宋" w:hAnsi="仿宋" w:eastAsia="仿宋" w:cs="仿宋"/>
          <w:kern w:val="0"/>
          <w:sz w:val="32"/>
          <w:szCs w:val="32"/>
        </w:rPr>
        <w:t>科技发展、引进国外</w:t>
      </w:r>
      <w:r>
        <w:rPr>
          <w:rFonts w:hint="eastAsia" w:ascii="仿宋" w:hAnsi="仿宋" w:eastAsia="仿宋" w:cs="仿宋"/>
          <w:kern w:val="0"/>
          <w:sz w:val="32"/>
          <w:szCs w:val="32"/>
        </w:rPr>
        <w:t>及国内</w:t>
      </w:r>
      <w:r>
        <w:rPr>
          <w:rFonts w:ascii="仿宋" w:hAnsi="仿宋" w:eastAsia="仿宋" w:cs="仿宋"/>
          <w:kern w:val="0"/>
          <w:sz w:val="32"/>
          <w:szCs w:val="32"/>
        </w:rPr>
        <w:t>智力规划和政策并组织实施。</w:t>
      </w:r>
      <w:r>
        <w:rPr>
          <w:rFonts w:hint="eastAsia" w:ascii="仿宋" w:hAnsi="仿宋" w:eastAsia="仿宋" w:cs="仿宋"/>
          <w:kern w:val="0"/>
          <w:sz w:val="32"/>
          <w:szCs w:val="32"/>
        </w:rPr>
        <w:t>统筹推进全市创新体系建设和科技体制改革，</w:t>
      </w:r>
      <w:r>
        <w:rPr>
          <w:rFonts w:ascii="仿宋" w:hAnsi="仿宋" w:eastAsia="仿宋" w:cs="仿宋"/>
          <w:kern w:val="0"/>
          <w:sz w:val="32"/>
          <w:szCs w:val="32"/>
        </w:rPr>
        <w:t>会同有关部门健全技术创新激励机制</w:t>
      </w:r>
      <w:r>
        <w:rPr>
          <w:rFonts w:hint="eastAsia" w:ascii="仿宋" w:hAnsi="仿宋" w:eastAsia="仿宋" w:cs="仿宋"/>
          <w:kern w:val="0"/>
          <w:sz w:val="32"/>
          <w:szCs w:val="32"/>
        </w:rPr>
        <w:t>。</w:t>
      </w:r>
      <w:r>
        <w:rPr>
          <w:rFonts w:ascii="仿宋" w:hAnsi="仿宋" w:eastAsia="仿宋" w:cs="仿宋"/>
          <w:kern w:val="0"/>
          <w:sz w:val="32"/>
          <w:szCs w:val="32"/>
        </w:rPr>
        <w:t>指导科研机构改革发展，推动企业科技创新能力建设，承担推进科技军民融合发展相关工作，推进</w:t>
      </w:r>
      <w:r>
        <w:rPr>
          <w:rFonts w:hint="eastAsia" w:ascii="仿宋" w:hAnsi="仿宋" w:eastAsia="仿宋" w:cs="仿宋"/>
          <w:kern w:val="0"/>
          <w:sz w:val="32"/>
          <w:szCs w:val="32"/>
        </w:rPr>
        <w:t>全市</w:t>
      </w:r>
      <w:r>
        <w:rPr>
          <w:rFonts w:ascii="仿宋" w:hAnsi="仿宋" w:eastAsia="仿宋" w:cs="仿宋"/>
          <w:kern w:val="0"/>
          <w:sz w:val="32"/>
          <w:szCs w:val="32"/>
        </w:rPr>
        <w:t>重大科技决策咨询制度建设</w:t>
      </w:r>
      <w:r>
        <w:rPr>
          <w:rFonts w:hint="eastAsia" w:ascii="仿宋" w:hAnsi="仿宋" w:eastAsia="仿宋" w:cs="仿宋"/>
          <w:kern w:val="0"/>
          <w:sz w:val="32"/>
          <w:szCs w:val="32"/>
        </w:rPr>
        <w:t>。拟订科学普及和科学传播规划、政策，组织实施科普计划。统筹推进国家创新型城市建设</w:t>
      </w:r>
      <w:r>
        <w:rPr>
          <w:rFonts w:ascii="仿宋" w:hAnsi="仿宋" w:eastAsia="仿宋" w:cs="仿宋"/>
          <w:kern w:val="0"/>
          <w:sz w:val="32"/>
          <w:szCs w:val="32"/>
        </w:rPr>
        <w:t>。牵头建立统一的</w:t>
      </w:r>
      <w:r>
        <w:rPr>
          <w:rFonts w:hint="eastAsia" w:ascii="仿宋" w:hAnsi="仿宋" w:eastAsia="仿宋" w:cs="仿宋"/>
          <w:kern w:val="0"/>
          <w:sz w:val="32"/>
          <w:szCs w:val="32"/>
        </w:rPr>
        <w:t>市级</w:t>
      </w:r>
      <w:r>
        <w:rPr>
          <w:rFonts w:ascii="仿宋" w:hAnsi="仿宋" w:eastAsia="仿宋" w:cs="仿宋"/>
          <w:kern w:val="0"/>
          <w:sz w:val="32"/>
          <w:szCs w:val="32"/>
        </w:rPr>
        <w:t>科技管理平台和科研项目资金协调、评估、监管机制。会同有关部门提出优化配置科技资源的政策措施建议，推动多元化科技投入体系建设，协调管理</w:t>
      </w:r>
      <w:r>
        <w:rPr>
          <w:rFonts w:hint="eastAsia" w:ascii="仿宋" w:hAnsi="仿宋" w:eastAsia="仿宋" w:cs="仿宋"/>
          <w:kern w:val="0"/>
          <w:sz w:val="32"/>
          <w:szCs w:val="32"/>
        </w:rPr>
        <w:t>市级</w:t>
      </w:r>
      <w:r>
        <w:rPr>
          <w:rFonts w:ascii="仿宋" w:hAnsi="仿宋" w:eastAsia="仿宋" w:cs="仿宋"/>
          <w:kern w:val="0"/>
          <w:sz w:val="32"/>
          <w:szCs w:val="32"/>
        </w:rPr>
        <w:t>财政科技计划（专项、基金等）并监督实施。</w:t>
      </w:r>
      <w:r>
        <w:rPr>
          <w:rFonts w:hint="eastAsia" w:ascii="仿宋" w:hAnsi="仿宋" w:eastAsia="仿宋" w:cs="仿宋"/>
          <w:kern w:val="0"/>
          <w:sz w:val="32"/>
          <w:szCs w:val="32"/>
        </w:rPr>
        <w:t>拟订全市基础研究规划、政策和标准并组织实施。组织协调市级重大基础研究和应用基础研究。拟订重大科技创新基地建设规划并监督实施，参与编制重大科技基础设施建设规划和监督实施，</w:t>
      </w:r>
      <w:r>
        <w:rPr>
          <w:rFonts w:ascii="仿宋" w:hAnsi="仿宋" w:eastAsia="仿宋" w:cs="仿宋"/>
          <w:kern w:val="0"/>
          <w:sz w:val="32"/>
          <w:szCs w:val="32"/>
        </w:rPr>
        <w:t>牵头组织</w:t>
      </w:r>
      <w:r>
        <w:rPr>
          <w:rFonts w:hint="eastAsia" w:ascii="仿宋" w:hAnsi="仿宋" w:eastAsia="仿宋" w:cs="仿宋"/>
          <w:kern w:val="0"/>
          <w:sz w:val="32"/>
          <w:szCs w:val="32"/>
        </w:rPr>
        <w:t>市重点</w:t>
      </w:r>
      <w:r>
        <w:rPr>
          <w:rFonts w:ascii="仿宋" w:hAnsi="仿宋" w:eastAsia="仿宋" w:cs="仿宋"/>
          <w:kern w:val="0"/>
          <w:sz w:val="32"/>
          <w:szCs w:val="32"/>
        </w:rPr>
        <w:t>实验室</w:t>
      </w:r>
      <w:r>
        <w:rPr>
          <w:rFonts w:hint="eastAsia" w:ascii="仿宋" w:hAnsi="仿宋" w:eastAsia="仿宋" w:cs="仿宋"/>
          <w:kern w:val="0"/>
          <w:sz w:val="32"/>
          <w:szCs w:val="32"/>
        </w:rPr>
        <w:t>等重大科技创新基地</w:t>
      </w:r>
      <w:r>
        <w:rPr>
          <w:rFonts w:ascii="仿宋" w:hAnsi="仿宋" w:eastAsia="仿宋" w:cs="仿宋"/>
          <w:kern w:val="0"/>
          <w:sz w:val="32"/>
          <w:szCs w:val="32"/>
        </w:rPr>
        <w:t>建设，推动科研条件保障建设和科技资源开放共享。编制</w:t>
      </w:r>
      <w:r>
        <w:rPr>
          <w:rFonts w:hint="eastAsia" w:ascii="仿宋" w:hAnsi="仿宋" w:eastAsia="仿宋" w:cs="仿宋"/>
          <w:kern w:val="0"/>
          <w:sz w:val="32"/>
          <w:szCs w:val="32"/>
        </w:rPr>
        <w:t>市级</w:t>
      </w:r>
      <w:r>
        <w:rPr>
          <w:rFonts w:ascii="仿宋" w:hAnsi="仿宋" w:eastAsia="仿宋" w:cs="仿宋"/>
          <w:kern w:val="0"/>
          <w:sz w:val="32"/>
          <w:szCs w:val="32"/>
        </w:rPr>
        <w:t>重大科技项目</w:t>
      </w:r>
      <w:r>
        <w:rPr>
          <w:rFonts w:hint="eastAsia" w:ascii="仿宋" w:hAnsi="仿宋" w:eastAsia="仿宋" w:cs="仿宋"/>
          <w:kern w:val="0"/>
          <w:sz w:val="32"/>
          <w:szCs w:val="32"/>
        </w:rPr>
        <w:t>计划</w:t>
      </w:r>
      <w:r>
        <w:rPr>
          <w:rFonts w:ascii="仿宋" w:hAnsi="仿宋" w:eastAsia="仿宋" w:cs="仿宋"/>
          <w:kern w:val="0"/>
          <w:sz w:val="32"/>
          <w:szCs w:val="32"/>
        </w:rPr>
        <w:t>并监督实施，统筹关键共性技术、前沿引领技术、现代工程技术、颠覆性技术研发和创新，牵头组织重大技术攻关和成果应用示范。组织拟订高新技术发展及产业化、科技促进农业农村和社会发展的规划、政策和措施。组织开展重点领域技术发展需求分析，提出重大任务并监督实施。牵头</w:t>
      </w:r>
      <w:r>
        <w:rPr>
          <w:rFonts w:hint="eastAsia" w:ascii="仿宋" w:hAnsi="仿宋" w:eastAsia="仿宋" w:cs="仿宋"/>
          <w:kern w:val="0"/>
          <w:sz w:val="32"/>
          <w:szCs w:val="32"/>
        </w:rPr>
        <w:t>市级</w:t>
      </w:r>
      <w:r>
        <w:rPr>
          <w:rFonts w:ascii="仿宋" w:hAnsi="仿宋" w:eastAsia="仿宋" w:cs="仿宋"/>
          <w:kern w:val="0"/>
          <w:sz w:val="32"/>
          <w:szCs w:val="32"/>
        </w:rPr>
        <w:t>技术转移体系建设，拟订科技成果转移转化和促进产学研结合的相关政策措施并监督实施。指导科技服务业、技术市场</w:t>
      </w:r>
      <w:r>
        <w:rPr>
          <w:rFonts w:hint="eastAsia" w:ascii="仿宋" w:hAnsi="仿宋" w:eastAsia="仿宋" w:cs="仿宋"/>
          <w:kern w:val="0"/>
          <w:sz w:val="32"/>
          <w:szCs w:val="32"/>
        </w:rPr>
        <w:t>、科技金融结合</w:t>
      </w:r>
      <w:r>
        <w:rPr>
          <w:rFonts w:ascii="仿宋" w:hAnsi="仿宋" w:eastAsia="仿宋" w:cs="仿宋"/>
          <w:kern w:val="0"/>
          <w:sz w:val="32"/>
          <w:szCs w:val="32"/>
        </w:rPr>
        <w:t>和科技中介组织发展。统筹区域科技创新体系建设，指导区域创新发展、科技资源合理布局和协同创新能力建设，推动科技园区建设。负责科技监督评价体系建设和相关科技评估管理，指导科技评价机制改革，统筹科研诚信建设。组织实施</w:t>
      </w:r>
      <w:r>
        <w:rPr>
          <w:rFonts w:hint="eastAsia" w:ascii="仿宋" w:hAnsi="仿宋" w:eastAsia="仿宋" w:cs="仿宋"/>
          <w:kern w:val="0"/>
          <w:sz w:val="32"/>
          <w:szCs w:val="32"/>
        </w:rPr>
        <w:t>全市</w:t>
      </w:r>
      <w:r>
        <w:rPr>
          <w:rFonts w:ascii="仿宋" w:hAnsi="仿宋" w:eastAsia="仿宋" w:cs="仿宋"/>
          <w:kern w:val="0"/>
          <w:sz w:val="32"/>
          <w:szCs w:val="32"/>
        </w:rPr>
        <w:t>创新调查和科技报告制度，指导全</w:t>
      </w:r>
      <w:r>
        <w:rPr>
          <w:rFonts w:hint="eastAsia" w:ascii="仿宋" w:hAnsi="仿宋" w:eastAsia="仿宋" w:cs="仿宋"/>
          <w:kern w:val="0"/>
          <w:sz w:val="32"/>
          <w:szCs w:val="32"/>
        </w:rPr>
        <w:t>市</w:t>
      </w:r>
      <w:r>
        <w:rPr>
          <w:rFonts w:ascii="仿宋" w:hAnsi="仿宋" w:eastAsia="仿宋" w:cs="仿宋"/>
          <w:kern w:val="0"/>
          <w:sz w:val="32"/>
          <w:szCs w:val="32"/>
        </w:rPr>
        <w:t>科技保密工作。拟订科技对外交往与创新能力开放合作的规划、政策和措施，组织开展国际</w:t>
      </w:r>
      <w:r>
        <w:rPr>
          <w:rFonts w:hint="eastAsia" w:ascii="仿宋" w:hAnsi="仿宋" w:eastAsia="仿宋" w:cs="仿宋"/>
          <w:kern w:val="0"/>
          <w:sz w:val="32"/>
          <w:szCs w:val="32"/>
        </w:rPr>
        <w:t>和区域</w:t>
      </w:r>
      <w:r>
        <w:rPr>
          <w:rFonts w:ascii="仿宋" w:hAnsi="仿宋" w:eastAsia="仿宋" w:cs="仿宋"/>
          <w:kern w:val="0"/>
          <w:sz w:val="32"/>
          <w:szCs w:val="32"/>
        </w:rPr>
        <w:t>科技合作与科技人才交流。指导相关部门和</w:t>
      </w:r>
      <w:r>
        <w:rPr>
          <w:rFonts w:hint="eastAsia" w:ascii="仿宋" w:hAnsi="仿宋" w:eastAsia="仿宋" w:cs="仿宋"/>
          <w:kern w:val="0"/>
          <w:sz w:val="32"/>
          <w:szCs w:val="32"/>
        </w:rPr>
        <w:t>县市区</w:t>
      </w:r>
      <w:r>
        <w:rPr>
          <w:rFonts w:ascii="仿宋" w:hAnsi="仿宋" w:eastAsia="仿宋" w:cs="仿宋"/>
          <w:kern w:val="0"/>
          <w:sz w:val="32"/>
          <w:szCs w:val="32"/>
        </w:rPr>
        <w:t>对外科技合作与科技人才交流工作。负责引进国外</w:t>
      </w:r>
      <w:r>
        <w:rPr>
          <w:rFonts w:hint="eastAsia" w:ascii="仿宋" w:hAnsi="仿宋" w:eastAsia="仿宋" w:cs="仿宋"/>
          <w:kern w:val="0"/>
          <w:sz w:val="32"/>
          <w:szCs w:val="32"/>
        </w:rPr>
        <w:t>和国内</w:t>
      </w:r>
      <w:r>
        <w:rPr>
          <w:rFonts w:ascii="仿宋" w:hAnsi="仿宋" w:eastAsia="仿宋" w:cs="仿宋"/>
          <w:kern w:val="0"/>
          <w:sz w:val="32"/>
          <w:szCs w:val="32"/>
        </w:rPr>
        <w:t>智力工作。拟订</w:t>
      </w:r>
      <w:r>
        <w:rPr>
          <w:rFonts w:hint="eastAsia" w:ascii="仿宋" w:hAnsi="仿宋" w:eastAsia="仿宋" w:cs="仿宋"/>
          <w:kern w:val="0"/>
          <w:sz w:val="32"/>
          <w:szCs w:val="32"/>
        </w:rPr>
        <w:t>全市</w:t>
      </w:r>
      <w:r>
        <w:rPr>
          <w:rFonts w:ascii="仿宋" w:hAnsi="仿宋" w:eastAsia="仿宋" w:cs="仿宋"/>
          <w:kern w:val="0"/>
          <w:sz w:val="32"/>
          <w:szCs w:val="32"/>
        </w:rPr>
        <w:t>重点引进外国专家总体规划、计划并组织实施，建立国外</w:t>
      </w:r>
      <w:r>
        <w:rPr>
          <w:rFonts w:hint="eastAsia" w:ascii="仿宋" w:hAnsi="仿宋" w:eastAsia="仿宋" w:cs="仿宋"/>
          <w:kern w:val="0"/>
          <w:sz w:val="32"/>
          <w:szCs w:val="32"/>
        </w:rPr>
        <w:t>和国内</w:t>
      </w:r>
      <w:r>
        <w:rPr>
          <w:rFonts w:ascii="仿宋" w:hAnsi="仿宋" w:eastAsia="仿宋" w:cs="仿宋"/>
          <w:kern w:val="0"/>
          <w:sz w:val="32"/>
          <w:szCs w:val="32"/>
        </w:rPr>
        <w:t>高层次</w:t>
      </w:r>
      <w:r>
        <w:rPr>
          <w:rFonts w:hint="eastAsia" w:ascii="仿宋" w:hAnsi="仿宋" w:eastAsia="仿宋" w:cs="仿宋"/>
          <w:kern w:val="0"/>
          <w:sz w:val="32"/>
          <w:szCs w:val="32"/>
        </w:rPr>
        <w:t>科技</w:t>
      </w:r>
      <w:r>
        <w:rPr>
          <w:rFonts w:ascii="仿宋" w:hAnsi="仿宋" w:eastAsia="仿宋" w:cs="仿宋"/>
          <w:kern w:val="0"/>
          <w:sz w:val="32"/>
          <w:szCs w:val="32"/>
        </w:rPr>
        <w:t>创新人才、团队吸引集聚机制和</w:t>
      </w:r>
      <w:r>
        <w:rPr>
          <w:rFonts w:hint="eastAsia" w:ascii="仿宋" w:hAnsi="仿宋" w:eastAsia="仿宋" w:cs="仿宋"/>
          <w:kern w:val="0"/>
          <w:sz w:val="32"/>
          <w:szCs w:val="32"/>
        </w:rPr>
        <w:t>重点</w:t>
      </w:r>
      <w:r>
        <w:rPr>
          <w:rFonts w:ascii="仿宋" w:hAnsi="仿宋" w:eastAsia="仿宋" w:cs="仿宋"/>
          <w:kern w:val="0"/>
          <w:sz w:val="32"/>
          <w:szCs w:val="32"/>
        </w:rPr>
        <w:t>国</w:t>
      </w:r>
      <w:r>
        <w:rPr>
          <w:rFonts w:hint="eastAsia" w:ascii="仿宋" w:hAnsi="仿宋" w:eastAsia="仿宋" w:cs="仿宋"/>
          <w:kern w:val="0"/>
          <w:sz w:val="32"/>
          <w:szCs w:val="32"/>
        </w:rPr>
        <w:t>内</w:t>
      </w:r>
      <w:r>
        <w:rPr>
          <w:rFonts w:ascii="仿宋" w:hAnsi="仿宋" w:eastAsia="仿宋" w:cs="仿宋"/>
          <w:kern w:val="0"/>
          <w:sz w:val="32"/>
          <w:szCs w:val="32"/>
        </w:rPr>
        <w:t>外专家联系服务机制。拟订出国（境）培训总体规划、政策和年度计划并监督实施。会同有关部门拟订科技人才队伍建设规划和政策，建立健全科技人才评价和激励机制，组织实施科技人才计划，推动</w:t>
      </w:r>
      <w:r>
        <w:rPr>
          <w:rFonts w:hint="eastAsia" w:ascii="仿宋" w:hAnsi="仿宋" w:eastAsia="仿宋" w:cs="仿宋"/>
          <w:kern w:val="0"/>
          <w:sz w:val="32"/>
          <w:szCs w:val="32"/>
        </w:rPr>
        <w:t>高层次</w:t>
      </w:r>
      <w:r>
        <w:rPr>
          <w:rFonts w:ascii="仿宋" w:hAnsi="仿宋" w:eastAsia="仿宋" w:cs="仿宋"/>
          <w:kern w:val="0"/>
          <w:sz w:val="32"/>
          <w:szCs w:val="32"/>
        </w:rPr>
        <w:t>科技创新人才队伍建设。负责科学技术奖、</w:t>
      </w:r>
      <w:r>
        <w:rPr>
          <w:rFonts w:hint="eastAsia" w:ascii="仿宋" w:hAnsi="仿宋" w:eastAsia="仿宋" w:cs="仿宋"/>
          <w:kern w:val="0"/>
          <w:sz w:val="32"/>
          <w:szCs w:val="32"/>
        </w:rPr>
        <w:t>潇湘</w:t>
      </w:r>
      <w:r>
        <w:rPr>
          <w:rFonts w:ascii="仿宋" w:hAnsi="仿宋" w:eastAsia="仿宋" w:cs="仿宋"/>
          <w:kern w:val="0"/>
          <w:sz w:val="32"/>
          <w:szCs w:val="32"/>
        </w:rPr>
        <w:t>友谊奖</w:t>
      </w:r>
      <w:r>
        <w:rPr>
          <w:rFonts w:hint="eastAsia" w:ascii="仿宋" w:hAnsi="仿宋" w:eastAsia="仿宋" w:cs="仿宋"/>
          <w:kern w:val="0"/>
          <w:sz w:val="32"/>
          <w:szCs w:val="32"/>
        </w:rPr>
        <w:t>等推荐</w:t>
      </w:r>
      <w:r>
        <w:rPr>
          <w:rFonts w:ascii="仿宋" w:hAnsi="仿宋" w:eastAsia="仿宋" w:cs="仿宋"/>
          <w:kern w:val="0"/>
          <w:sz w:val="32"/>
          <w:szCs w:val="32"/>
        </w:rPr>
        <w:t>工作。</w:t>
      </w:r>
      <w:r>
        <w:rPr>
          <w:rFonts w:hint="eastAsia" w:ascii="仿宋" w:hAnsi="仿宋" w:eastAsia="仿宋" w:cs="仿宋"/>
          <w:kern w:val="0"/>
          <w:sz w:val="32"/>
          <w:szCs w:val="32"/>
        </w:rPr>
        <w:t>负责推荐</w:t>
      </w:r>
      <w:r>
        <w:rPr>
          <w:rFonts w:ascii="仿宋" w:hAnsi="仿宋" w:eastAsia="仿宋" w:cs="仿宋"/>
          <w:kern w:val="0"/>
          <w:sz w:val="32"/>
          <w:szCs w:val="32"/>
        </w:rPr>
        <w:t>国家</w:t>
      </w:r>
      <w:r>
        <w:rPr>
          <w:rFonts w:hint="eastAsia" w:ascii="仿宋" w:hAnsi="仿宋" w:eastAsia="仿宋" w:cs="仿宋"/>
          <w:kern w:val="0"/>
          <w:sz w:val="32"/>
          <w:szCs w:val="32"/>
        </w:rPr>
        <w:t>、省</w:t>
      </w:r>
      <w:r>
        <w:rPr>
          <w:rFonts w:ascii="仿宋" w:hAnsi="仿宋" w:eastAsia="仿宋" w:cs="仿宋"/>
          <w:kern w:val="0"/>
          <w:sz w:val="32"/>
          <w:szCs w:val="32"/>
        </w:rPr>
        <w:t>自然科学基金</w:t>
      </w:r>
      <w:r>
        <w:rPr>
          <w:rFonts w:hint="eastAsia" w:ascii="仿宋" w:hAnsi="仿宋" w:eastAsia="仿宋" w:cs="仿宋"/>
          <w:kern w:val="0"/>
          <w:sz w:val="32"/>
          <w:szCs w:val="32"/>
        </w:rPr>
        <w:t>项目</w:t>
      </w:r>
      <w:r>
        <w:rPr>
          <w:rFonts w:ascii="仿宋" w:hAnsi="仿宋" w:eastAsia="仿宋" w:cs="仿宋"/>
          <w:kern w:val="0"/>
          <w:sz w:val="32"/>
          <w:szCs w:val="32"/>
        </w:rPr>
        <w:t>。</w:t>
      </w:r>
      <w:r>
        <w:rPr>
          <w:rFonts w:hint="eastAsia" w:ascii="仿宋" w:hAnsi="仿宋" w:eastAsia="仿宋" w:cs="仿宋"/>
          <w:kern w:val="0"/>
          <w:sz w:val="32"/>
          <w:szCs w:val="32"/>
        </w:rPr>
        <w:t>负责本行业、领域的应急管理工作，对本行业、领域的安全生产工作实施监督管理。完成市委、市政府</w:t>
      </w:r>
      <w:r>
        <w:rPr>
          <w:rFonts w:ascii="仿宋" w:hAnsi="仿宋" w:eastAsia="仿宋" w:cs="仿宋"/>
          <w:kern w:val="0"/>
          <w:sz w:val="32"/>
          <w:szCs w:val="32"/>
        </w:rPr>
        <w:t>交办的其他任务。职能转变。围绕贯彻实施科教兴国战略、人才强国战略、创新驱动发展战略</w:t>
      </w:r>
      <w:r>
        <w:rPr>
          <w:rFonts w:hint="eastAsia" w:ascii="仿宋" w:hAnsi="仿宋" w:eastAsia="仿宋" w:cs="仿宋"/>
          <w:kern w:val="0"/>
          <w:sz w:val="32"/>
          <w:szCs w:val="32"/>
        </w:rPr>
        <w:t>和创新引领开放崛起战略</w:t>
      </w:r>
      <w:r>
        <w:rPr>
          <w:rFonts w:ascii="仿宋" w:hAnsi="仿宋" w:eastAsia="仿宋" w:cs="仿宋"/>
          <w:kern w:val="0"/>
          <w:sz w:val="32"/>
          <w:szCs w:val="32"/>
        </w:rPr>
        <w:t>，加强、优化、转变政府科技管理和服务职能，完善科技创新制度和组织体系，加强宏观管理和统筹协调，减少微观管理和具体审批事项，加强事中事后监管和科研诚信建设。从研发管理向创新服务转变，深入推进科技计划管理改革，建立公开统一的</w:t>
      </w:r>
      <w:r>
        <w:rPr>
          <w:rFonts w:hint="eastAsia" w:ascii="仿宋" w:hAnsi="仿宋" w:eastAsia="仿宋" w:cs="仿宋"/>
          <w:kern w:val="0"/>
          <w:sz w:val="32"/>
          <w:szCs w:val="32"/>
        </w:rPr>
        <w:t>市级</w:t>
      </w:r>
      <w:r>
        <w:rPr>
          <w:rFonts w:ascii="仿宋" w:hAnsi="仿宋" w:eastAsia="仿宋" w:cs="仿宋"/>
          <w:kern w:val="0"/>
          <w:sz w:val="32"/>
          <w:szCs w:val="32"/>
        </w:rPr>
        <w:t>科技管理平台，减少科技计划项目</w:t>
      </w:r>
      <w:r>
        <w:rPr>
          <w:rFonts w:hint="eastAsia" w:ascii="仿宋" w:hAnsi="仿宋" w:eastAsia="仿宋" w:cs="仿宋"/>
          <w:kern w:val="0"/>
          <w:sz w:val="32"/>
          <w:szCs w:val="32"/>
        </w:rPr>
        <w:t>配置中的</w:t>
      </w:r>
      <w:r>
        <w:rPr>
          <w:rFonts w:ascii="仿宋" w:hAnsi="仿宋" w:eastAsia="仿宋" w:cs="仿宋"/>
          <w:kern w:val="0"/>
          <w:sz w:val="32"/>
          <w:szCs w:val="32"/>
        </w:rPr>
        <w:t>重复、分散、封闭、低效现象。进一步改进科技人才评价机制，建立健全以创新能力、质量、贡献、绩效为导向的科技人才评价体系和激励政策，统筹</w:t>
      </w:r>
      <w:r>
        <w:rPr>
          <w:rFonts w:hint="eastAsia" w:ascii="仿宋" w:hAnsi="仿宋" w:eastAsia="仿宋" w:cs="仿宋"/>
          <w:kern w:val="0"/>
          <w:sz w:val="32"/>
          <w:szCs w:val="32"/>
        </w:rPr>
        <w:t>市内</w:t>
      </w:r>
      <w:r>
        <w:rPr>
          <w:rFonts w:ascii="仿宋" w:hAnsi="仿宋" w:eastAsia="仿宋" w:cs="仿宋"/>
          <w:kern w:val="0"/>
          <w:sz w:val="32"/>
          <w:szCs w:val="32"/>
        </w:rPr>
        <w:t>科技人才队伍建设和引进国外智力工作。</w:t>
      </w:r>
    </w:p>
    <w:p w14:paraId="4AF70B0D">
      <w:pPr>
        <w:adjustRightInd w:val="0"/>
        <w:snapToGrid w:val="0"/>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2.部门组织机构及人员情况。我局现有班子成员6人，设置内设机构</w:t>
      </w:r>
      <w:r>
        <w:rPr>
          <w:rFonts w:ascii="仿宋" w:hAnsi="仿宋" w:eastAsia="仿宋" w:cs="仿宋"/>
          <w:kern w:val="0"/>
          <w:sz w:val="32"/>
          <w:szCs w:val="32"/>
        </w:rPr>
        <w:t>1</w:t>
      </w:r>
      <w:r>
        <w:rPr>
          <w:rFonts w:hint="eastAsia" w:ascii="仿宋" w:hAnsi="仿宋" w:eastAsia="仿宋" w:cs="仿宋"/>
          <w:kern w:val="0"/>
          <w:sz w:val="32"/>
          <w:szCs w:val="32"/>
        </w:rPr>
        <w:t>1个，分别为办公室、发展规划科、政策法规科</w:t>
      </w:r>
      <w:r>
        <w:rPr>
          <w:rFonts w:ascii="仿宋" w:hAnsi="仿宋" w:eastAsia="仿宋" w:cs="仿宋"/>
          <w:kern w:val="0"/>
          <w:sz w:val="32"/>
          <w:szCs w:val="32"/>
        </w:rPr>
        <w:t>（</w:t>
      </w:r>
      <w:r>
        <w:rPr>
          <w:rFonts w:hint="eastAsia" w:ascii="仿宋" w:hAnsi="仿宋" w:eastAsia="仿宋" w:cs="仿宋"/>
          <w:kern w:val="0"/>
          <w:sz w:val="32"/>
          <w:szCs w:val="32"/>
        </w:rPr>
        <w:t>市创新型城市建设领导小组办公室、</w:t>
      </w:r>
      <w:r>
        <w:rPr>
          <w:rFonts w:ascii="仿宋" w:hAnsi="仿宋" w:eastAsia="仿宋" w:cs="仿宋"/>
          <w:kern w:val="0"/>
          <w:sz w:val="32"/>
          <w:szCs w:val="32"/>
        </w:rPr>
        <w:t>行政审批服务科）</w:t>
      </w:r>
      <w:r>
        <w:rPr>
          <w:rFonts w:hint="eastAsia" w:ascii="仿宋" w:hAnsi="仿宋" w:eastAsia="仿宋" w:cs="仿宋"/>
          <w:kern w:val="0"/>
          <w:sz w:val="32"/>
          <w:szCs w:val="32"/>
        </w:rPr>
        <w:t>、监督管理科、</w:t>
      </w:r>
      <w:r>
        <w:rPr>
          <w:rFonts w:ascii="仿宋" w:hAnsi="仿宋" w:eastAsia="仿宋" w:cs="仿宋"/>
          <w:kern w:val="0"/>
          <w:sz w:val="32"/>
          <w:szCs w:val="32"/>
        </w:rPr>
        <w:t>高新技术发展</w:t>
      </w:r>
      <w:r>
        <w:rPr>
          <w:rFonts w:hint="eastAsia" w:ascii="仿宋" w:hAnsi="仿宋" w:eastAsia="仿宋" w:cs="仿宋"/>
          <w:kern w:val="0"/>
          <w:sz w:val="32"/>
          <w:szCs w:val="32"/>
        </w:rPr>
        <w:t>及产业化</w:t>
      </w:r>
      <w:r>
        <w:rPr>
          <w:rFonts w:ascii="仿宋" w:hAnsi="仿宋" w:eastAsia="仿宋" w:cs="仿宋"/>
          <w:kern w:val="0"/>
          <w:sz w:val="32"/>
          <w:szCs w:val="32"/>
        </w:rPr>
        <w:t>科</w:t>
      </w:r>
      <w:r>
        <w:rPr>
          <w:rFonts w:hint="eastAsia" w:ascii="仿宋" w:hAnsi="仿宋" w:eastAsia="仿宋" w:cs="仿宋"/>
          <w:kern w:val="0"/>
          <w:sz w:val="32"/>
          <w:szCs w:val="32"/>
        </w:rPr>
        <w:t>、农村与社会发展科技科、基础研究与成果转化科、专家服务与科技合作科（科技创新人才办公室）、组织人事科、机关党委、离退休人员管理服务科。局属全额事业单位</w:t>
      </w:r>
      <w:r>
        <w:rPr>
          <w:rFonts w:ascii="仿宋" w:hAnsi="仿宋" w:eastAsia="仿宋" w:cs="仿宋"/>
          <w:kern w:val="0"/>
          <w:sz w:val="32"/>
          <w:szCs w:val="32"/>
        </w:rPr>
        <w:t>2</w:t>
      </w:r>
      <w:r>
        <w:rPr>
          <w:rFonts w:hint="eastAsia" w:ascii="仿宋" w:hAnsi="仿宋" w:eastAsia="仿宋" w:cs="仿宋"/>
          <w:kern w:val="0"/>
          <w:sz w:val="32"/>
          <w:szCs w:val="32"/>
        </w:rPr>
        <w:t>个</w:t>
      </w:r>
      <w:r>
        <w:rPr>
          <w:rFonts w:ascii="仿宋" w:hAnsi="仿宋" w:eastAsia="仿宋" w:cs="仿宋"/>
          <w:kern w:val="0"/>
          <w:sz w:val="32"/>
          <w:szCs w:val="32"/>
        </w:rPr>
        <w:t>:</w:t>
      </w:r>
      <w:r>
        <w:rPr>
          <w:rFonts w:hint="eastAsia" w:ascii="仿宋" w:hAnsi="仿宋" w:eastAsia="仿宋" w:cs="仿宋"/>
          <w:kern w:val="0"/>
          <w:sz w:val="32"/>
          <w:szCs w:val="32"/>
        </w:rPr>
        <w:t>市科技信息所、市生产力促进中心。截止</w:t>
      </w:r>
      <w:r>
        <w:rPr>
          <w:rFonts w:ascii="仿宋" w:hAnsi="仿宋" w:eastAsia="仿宋" w:cs="仿宋"/>
          <w:kern w:val="0"/>
          <w:sz w:val="32"/>
          <w:szCs w:val="32"/>
        </w:rPr>
        <w:t>20</w:t>
      </w:r>
      <w:r>
        <w:rPr>
          <w:rFonts w:hint="eastAsia" w:ascii="仿宋" w:hAnsi="仿宋" w:eastAsia="仿宋" w:cs="仿宋"/>
          <w:kern w:val="0"/>
          <w:sz w:val="32"/>
          <w:szCs w:val="32"/>
        </w:rPr>
        <w:t>21年12月，我局现有编制66名，</w:t>
      </w:r>
      <w:r>
        <w:rPr>
          <w:rFonts w:ascii="仿宋" w:hAnsi="仿宋" w:eastAsia="仿宋" w:cs="仿宋"/>
          <w:kern w:val="0"/>
          <w:sz w:val="32"/>
          <w:szCs w:val="32"/>
        </w:rPr>
        <w:t>机关行政编制3</w:t>
      </w:r>
      <w:r>
        <w:rPr>
          <w:rFonts w:hint="eastAsia" w:ascii="仿宋" w:hAnsi="仿宋" w:eastAsia="仿宋" w:cs="仿宋"/>
          <w:kern w:val="0"/>
          <w:sz w:val="32"/>
          <w:szCs w:val="32"/>
        </w:rPr>
        <w:t>3</w:t>
      </w:r>
      <w:r>
        <w:rPr>
          <w:rFonts w:ascii="仿宋" w:hAnsi="仿宋" w:eastAsia="仿宋" w:cs="仿宋"/>
          <w:kern w:val="0"/>
          <w:sz w:val="32"/>
          <w:szCs w:val="32"/>
        </w:rPr>
        <w:t>名，机关</w:t>
      </w:r>
      <w:r>
        <w:rPr>
          <w:rFonts w:hint="eastAsia" w:ascii="仿宋" w:hAnsi="仿宋" w:eastAsia="仿宋" w:cs="仿宋"/>
          <w:kern w:val="0"/>
          <w:sz w:val="32"/>
          <w:szCs w:val="32"/>
        </w:rPr>
        <w:t>工勤</w:t>
      </w:r>
      <w:r>
        <w:rPr>
          <w:rFonts w:ascii="仿宋" w:hAnsi="仿宋" w:eastAsia="仿宋" w:cs="仿宋"/>
          <w:kern w:val="0"/>
          <w:sz w:val="32"/>
          <w:szCs w:val="32"/>
        </w:rPr>
        <w:t>编1名</w:t>
      </w:r>
      <w:r>
        <w:rPr>
          <w:rFonts w:hint="eastAsia" w:ascii="仿宋" w:hAnsi="仿宋" w:eastAsia="仿宋" w:cs="仿宋"/>
          <w:kern w:val="0"/>
          <w:sz w:val="32"/>
          <w:szCs w:val="32"/>
        </w:rPr>
        <w:t>，</w:t>
      </w:r>
      <w:r>
        <w:rPr>
          <w:rFonts w:ascii="仿宋" w:hAnsi="仿宋" w:eastAsia="仿宋" w:cs="仿宋"/>
          <w:kern w:val="0"/>
          <w:sz w:val="32"/>
          <w:szCs w:val="32"/>
        </w:rPr>
        <w:t>全额拨款事业编制32名</w:t>
      </w:r>
      <w:r>
        <w:rPr>
          <w:rFonts w:hint="eastAsia" w:ascii="仿宋" w:hAnsi="仿宋" w:eastAsia="仿宋" w:cs="仿宋"/>
          <w:kern w:val="0"/>
          <w:sz w:val="32"/>
          <w:szCs w:val="32"/>
        </w:rPr>
        <w:t>，实有人数116人，其中在职57人，离退休59人。</w:t>
      </w:r>
    </w:p>
    <w:p w14:paraId="49CAC76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20</w:t>
      </w:r>
      <w:r>
        <w:rPr>
          <w:rFonts w:hint="eastAsia" w:ascii="仿宋" w:hAnsi="仿宋" w:eastAsia="仿宋" w:cs="仿宋"/>
          <w:sz w:val="32"/>
          <w:szCs w:val="32"/>
        </w:rPr>
        <w:t>21年重点工作成效。</w:t>
      </w:r>
    </w:p>
    <w:p w14:paraId="458E9C36">
      <w:pPr>
        <w:adjustRightInd w:val="0"/>
        <w:snapToGrid w:val="0"/>
        <w:spacing w:line="570" w:lineRule="exact"/>
        <w:ind w:firstLine="643" w:firstLineChars="200"/>
        <w:rPr>
          <w:rFonts w:eastAsia="仿宋_GB2312"/>
          <w:sz w:val="32"/>
          <w:szCs w:val="32"/>
        </w:rPr>
      </w:pPr>
      <w:r>
        <w:rPr>
          <w:rFonts w:eastAsia="楷体"/>
          <w:b/>
          <w:bCs/>
          <w:color w:val="000000"/>
          <w:sz w:val="32"/>
          <w:szCs w:val="32"/>
        </w:rPr>
        <w:t>1.</w:t>
      </w:r>
      <w:r>
        <w:rPr>
          <w:rFonts w:hint="eastAsia" w:eastAsia="楷体"/>
          <w:b/>
          <w:bCs/>
          <w:color w:val="000000"/>
          <w:sz w:val="32"/>
          <w:szCs w:val="32"/>
        </w:rPr>
        <w:t>成功获批</w:t>
      </w:r>
      <w:r>
        <w:rPr>
          <w:rFonts w:eastAsia="楷体"/>
          <w:b/>
          <w:bCs/>
          <w:color w:val="000000"/>
          <w:sz w:val="32"/>
          <w:szCs w:val="32"/>
        </w:rPr>
        <w:t>国家创新型城市。</w:t>
      </w:r>
      <w:r>
        <w:rPr>
          <w:rFonts w:eastAsia="仿宋_GB2312"/>
          <w:sz w:val="32"/>
          <w:szCs w:val="32"/>
        </w:rPr>
        <w:t>3月19日市政府召开国家创新型城市建设工作推进会。5月</w:t>
      </w:r>
      <w:r>
        <w:rPr>
          <w:rFonts w:hint="eastAsia" w:eastAsia="仿宋_GB2312"/>
          <w:sz w:val="32"/>
          <w:szCs w:val="32"/>
        </w:rPr>
        <w:t>18、</w:t>
      </w:r>
      <w:r>
        <w:rPr>
          <w:rFonts w:eastAsia="仿宋_GB2312"/>
          <w:sz w:val="32"/>
          <w:szCs w:val="32"/>
        </w:rPr>
        <w:t>19日科技部组织专家来衡评估国家创新型城市建设，并召开国家创新型城市评估汇报会。专家组（组长齐让，中国科协原</w:t>
      </w:r>
      <w:r>
        <w:rPr>
          <w:rFonts w:hint="eastAsia" w:eastAsia="仿宋_GB2312"/>
          <w:sz w:val="32"/>
          <w:szCs w:val="32"/>
        </w:rPr>
        <w:t>副主席</w:t>
      </w:r>
      <w:r>
        <w:rPr>
          <w:rFonts w:eastAsia="仿宋_GB2312"/>
          <w:sz w:val="32"/>
          <w:szCs w:val="32"/>
        </w:rPr>
        <w:t>）给予极高评价，肯定衡阳科技创新工作跑出了“衡阳速度”，创造了“衡阳模式”，贡献了“衡阳经验”，取得了显著成效。</w:t>
      </w:r>
      <w:r>
        <w:rPr>
          <w:rFonts w:hint="eastAsia" w:eastAsia="仿宋_GB2312"/>
          <w:sz w:val="32"/>
          <w:szCs w:val="32"/>
        </w:rPr>
        <w:t>依靠科技创新促进</w:t>
      </w:r>
      <w:r>
        <w:rPr>
          <w:rFonts w:eastAsia="仿宋_GB2312"/>
          <w:sz w:val="32"/>
          <w:szCs w:val="32"/>
        </w:rPr>
        <w:t>老工业基地转型升级、</w:t>
      </w:r>
      <w:r>
        <w:rPr>
          <w:rFonts w:hint="eastAsia" w:eastAsia="仿宋_GB2312"/>
          <w:sz w:val="32"/>
          <w:szCs w:val="32"/>
        </w:rPr>
        <w:t>坚持“区域联动、五链融合”打造</w:t>
      </w:r>
      <w:r>
        <w:rPr>
          <w:rFonts w:eastAsia="仿宋_GB2312"/>
          <w:sz w:val="32"/>
          <w:szCs w:val="32"/>
        </w:rPr>
        <w:t>“衡州大道数字经济走廊”</w:t>
      </w:r>
      <w:r>
        <w:rPr>
          <w:rFonts w:hint="eastAsia" w:eastAsia="仿宋_GB2312"/>
          <w:sz w:val="32"/>
          <w:szCs w:val="32"/>
        </w:rPr>
        <w:t>、组织衡阳企业发展“船山论坛”活动赋能企业创新发展</w:t>
      </w:r>
      <w:r>
        <w:rPr>
          <w:rFonts w:eastAsia="仿宋_GB2312"/>
          <w:sz w:val="32"/>
          <w:szCs w:val="32"/>
        </w:rPr>
        <w:t>等经验值得向全国推广。12月</w:t>
      </w:r>
      <w:r>
        <w:rPr>
          <w:rFonts w:hint="eastAsia" w:eastAsia="仿宋_GB2312"/>
          <w:sz w:val="32"/>
          <w:szCs w:val="32"/>
        </w:rPr>
        <w:t>31日</w:t>
      </w:r>
      <w:r>
        <w:rPr>
          <w:rFonts w:eastAsia="仿宋_GB2312"/>
          <w:sz w:val="32"/>
          <w:szCs w:val="32"/>
        </w:rPr>
        <w:t>科技部</w:t>
      </w:r>
      <w:r>
        <w:rPr>
          <w:rFonts w:hint="eastAsia" w:eastAsia="仿宋_GB2312"/>
          <w:sz w:val="32"/>
          <w:szCs w:val="32"/>
        </w:rPr>
        <w:t>发文</w:t>
      </w:r>
      <w:r>
        <w:rPr>
          <w:rFonts w:eastAsia="仿宋_GB2312"/>
          <w:sz w:val="32"/>
          <w:szCs w:val="32"/>
        </w:rPr>
        <w:t>反馈国家创新型城市建设评估结果，衡阳顺利通过评估。</w:t>
      </w:r>
      <w:r>
        <w:rPr>
          <w:rFonts w:hint="eastAsia" w:eastAsia="仿宋_GB2312"/>
          <w:sz w:val="32"/>
          <w:szCs w:val="32"/>
        </w:rPr>
        <w:t>我市在获批“科创中国”试点城市之后，又添一块“金字招牌”。</w:t>
      </w:r>
      <w:r>
        <w:rPr>
          <w:rFonts w:eastAsia="仿宋_GB2312"/>
          <w:sz w:val="32"/>
          <w:szCs w:val="32"/>
        </w:rPr>
        <w:t>省政府《政务要情与交流》（特刊）第8期，以“衡阳市加快建设国家创新型城市 聚力打造区域性科技创新中心”为题，推介衡阳科技创新工作经验。</w:t>
      </w:r>
      <w:r>
        <w:rPr>
          <w:rFonts w:hint="eastAsia" w:eastAsia="仿宋_GB2312"/>
          <w:sz w:val="32"/>
          <w:szCs w:val="32"/>
        </w:rPr>
        <w:t>《湖南省区域科技创新能力评价报告2021》显示，衡阳科技创新提速显著，跻身湖南省科技创新“第一梯队”。</w:t>
      </w:r>
    </w:p>
    <w:p w14:paraId="7BABF076">
      <w:pPr>
        <w:pBdr>
          <w:bottom w:val="single" w:color="FFFFFF" w:sz="4" w:space="31"/>
        </w:pBdr>
        <w:tabs>
          <w:tab w:val="left" w:pos="1440"/>
        </w:tabs>
        <w:adjustRightInd w:val="0"/>
        <w:snapToGrid w:val="0"/>
        <w:spacing w:line="570" w:lineRule="exact"/>
        <w:ind w:firstLine="643" w:firstLineChars="200"/>
        <w:rPr>
          <w:rFonts w:eastAsia="仿宋_GB2312"/>
          <w:bCs/>
          <w:sz w:val="32"/>
          <w:szCs w:val="32"/>
        </w:rPr>
      </w:pPr>
      <w:r>
        <w:rPr>
          <w:rFonts w:eastAsia="楷体"/>
          <w:b/>
          <w:bCs/>
          <w:color w:val="000000"/>
          <w:sz w:val="32"/>
          <w:szCs w:val="32"/>
        </w:rPr>
        <w:t>2.搭建创新平台。</w:t>
      </w:r>
      <w:r>
        <w:rPr>
          <w:rFonts w:eastAsia="仿宋_GB2312"/>
          <w:sz w:val="32"/>
          <w:szCs w:val="32"/>
        </w:rPr>
        <w:t>新增省级以上研发及创新创业服务平台1</w:t>
      </w:r>
      <w:r>
        <w:rPr>
          <w:rFonts w:hint="eastAsia" w:eastAsia="仿宋_GB2312"/>
          <w:sz w:val="32"/>
          <w:szCs w:val="32"/>
        </w:rPr>
        <w:t>8</w:t>
      </w:r>
      <w:r>
        <w:rPr>
          <w:rFonts w:eastAsia="仿宋_GB2312"/>
          <w:sz w:val="32"/>
          <w:szCs w:val="32"/>
        </w:rPr>
        <w:t>家</w:t>
      </w:r>
      <w:r>
        <w:rPr>
          <w:rFonts w:hint="eastAsia" w:eastAsia="仿宋_GB2312"/>
          <w:sz w:val="32"/>
          <w:szCs w:val="32"/>
        </w:rPr>
        <w:t>。</w:t>
      </w:r>
      <w:r>
        <w:rPr>
          <w:rFonts w:eastAsia="仿宋_GB2312"/>
          <w:sz w:val="32"/>
          <w:szCs w:val="32"/>
        </w:rPr>
        <w:t>衡阳国家高新区成功升格为副厅级。白沙绿岛产业园获省政府批准创建省级高新技术产业开发区，为今年省政府特批唯一一家。中国科学院地理所与我市共建地理环境综合试验站（衡阳站），在全省是第一家。南华大学知识产权和技术转移中心入列湖南省第一批技术转移示范机构。支持上海交大5G新材料研究中心、湖南农大乡村数字研究院、上海应用大学萱草研究院、衡阳智慧水务研究中心等建设新型研发机构，全年新增省级新型研发机构10家。支持中国五矿、特变电工等牵头组建创新联合体，全年新增创新联合体10家，走在全省各市州前列。“衡州大道数字经济走廊”以“数字经济先行区、科技创新引领区、创新人才集聚区、产城融合示范区”为目标，在沿线布局45个产业园区，已成为衡阳科技创新的靓丽名片。支持高新区创建国家高新技术产业化基地，支持水口山经开区等创建国家火炬特色产业基地，支持输变电产业等创建国、省创新型产业集群。支持高新区科创中心创建国家级孵化器、丰家洲文创园创建国家级文化和科技融合示范基地等。支持衡南工业园、衡东经开</w:t>
      </w:r>
      <w:r>
        <w:rPr>
          <w:rFonts w:eastAsia="仿宋_GB2312"/>
          <w:bCs/>
          <w:sz w:val="32"/>
          <w:szCs w:val="32"/>
        </w:rPr>
        <w:t>区、水口山经开区、衡山科学城等创建省级高新区。</w:t>
      </w:r>
    </w:p>
    <w:p w14:paraId="6D080C4C">
      <w:pPr>
        <w:pBdr>
          <w:bottom w:val="single" w:color="FFFFFF" w:sz="4" w:space="31"/>
        </w:pBdr>
        <w:tabs>
          <w:tab w:val="left" w:pos="1440"/>
        </w:tabs>
        <w:adjustRightInd w:val="0"/>
        <w:snapToGrid w:val="0"/>
        <w:spacing w:line="570" w:lineRule="exact"/>
        <w:ind w:firstLine="643" w:firstLineChars="200"/>
        <w:rPr>
          <w:rFonts w:eastAsia="仿宋_GB2312"/>
          <w:bCs/>
          <w:sz w:val="32"/>
          <w:szCs w:val="32"/>
        </w:rPr>
      </w:pPr>
      <w:r>
        <w:rPr>
          <w:rFonts w:eastAsia="楷体"/>
          <w:b/>
          <w:bCs/>
          <w:color w:val="000000"/>
          <w:sz w:val="32"/>
          <w:szCs w:val="32"/>
        </w:rPr>
        <w:t>3.培育创新主体。</w:t>
      </w:r>
      <w:r>
        <w:rPr>
          <w:rFonts w:eastAsia="仿宋_GB2312"/>
          <w:color w:val="000000"/>
          <w:sz w:val="32"/>
          <w:szCs w:val="32"/>
        </w:rPr>
        <w:t>高位推进培育工作。在3月19日市政府召开的国家创新型城市建设工作推进会上，市长作高企申报动员讲话，200家拟申报企业受到了极大鼓舞。</w:t>
      </w:r>
      <w:r>
        <w:rPr>
          <w:rFonts w:eastAsia="仿宋_GB2312"/>
          <w:sz w:val="32"/>
          <w:szCs w:val="32"/>
        </w:rPr>
        <w:t>全年共申报高新技术企业3</w:t>
      </w:r>
      <w:r>
        <w:rPr>
          <w:rFonts w:hint="eastAsia" w:eastAsia="仿宋_GB2312"/>
          <w:sz w:val="32"/>
          <w:szCs w:val="32"/>
        </w:rPr>
        <w:t>7</w:t>
      </w:r>
      <w:r>
        <w:rPr>
          <w:rFonts w:eastAsia="仿宋_GB2312"/>
          <w:sz w:val="32"/>
          <w:szCs w:val="32"/>
        </w:rPr>
        <w:t>7家，同比增长42.3%，创历史新高，有望净增180家，总数突破600家。</w:t>
      </w:r>
      <w:r>
        <w:rPr>
          <w:rFonts w:eastAsia="仿宋_GB2312"/>
          <w:color w:val="000000"/>
          <w:sz w:val="32"/>
          <w:szCs w:val="32"/>
        </w:rPr>
        <w:t>建立高企后备库。目前已入库企业341</w:t>
      </w:r>
      <w:r>
        <w:rPr>
          <w:rFonts w:eastAsia="仿宋_GB2312"/>
          <w:bCs/>
          <w:sz w:val="32"/>
          <w:szCs w:val="32"/>
        </w:rPr>
        <w:t>家，其中，有249家将于今年申报，余下92家提前作好专利、财务等申报准备工作。培育科技型中小企业。全年登记入库726家，同比增长53%，总数居全省第三。</w:t>
      </w:r>
      <w:r>
        <w:rPr>
          <w:rFonts w:eastAsia="仿宋_GB2312"/>
          <w:sz w:val="32"/>
          <w:szCs w:val="32"/>
        </w:rPr>
        <w:t>应用“UP”模式成功引进奥普云洲陈德基团队、飞诺门阵沈寓实团队。2021年“博士行动”累计引进231名博士生，超过前三年总和的两倍。评选衡阳市优秀专家人才，2021年首届共评选110人。其中：“衡阳市突出贡献专家”10人、“衡阳市优秀专家”50人、“衡阳市优秀人才”50人，科学技术类</w:t>
      </w:r>
      <w:r>
        <w:rPr>
          <w:rFonts w:hint="eastAsia" w:eastAsia="仿宋_GB2312"/>
          <w:sz w:val="32"/>
          <w:szCs w:val="32"/>
        </w:rPr>
        <w:t>专家人才</w:t>
      </w:r>
      <w:r>
        <w:rPr>
          <w:rFonts w:eastAsia="仿宋_GB2312"/>
          <w:sz w:val="32"/>
          <w:szCs w:val="32"/>
        </w:rPr>
        <w:t>30名。</w:t>
      </w:r>
    </w:p>
    <w:p w14:paraId="30CBC8EF">
      <w:pPr>
        <w:pBdr>
          <w:bottom w:val="single" w:color="FFFFFF" w:sz="4" w:space="31"/>
        </w:pBdr>
        <w:tabs>
          <w:tab w:val="left" w:pos="1440"/>
        </w:tabs>
        <w:adjustRightInd w:val="0"/>
        <w:snapToGrid w:val="0"/>
        <w:spacing w:line="570" w:lineRule="exact"/>
        <w:ind w:firstLine="643" w:firstLineChars="200"/>
        <w:rPr>
          <w:rFonts w:eastAsia="仿宋_GB2312"/>
          <w:sz w:val="32"/>
          <w:szCs w:val="32"/>
        </w:rPr>
      </w:pPr>
      <w:r>
        <w:rPr>
          <w:rFonts w:eastAsia="楷体"/>
          <w:b/>
          <w:bCs/>
          <w:color w:val="000000"/>
          <w:sz w:val="32"/>
          <w:szCs w:val="32"/>
        </w:rPr>
        <w:t>4.加大科技投入。</w:t>
      </w:r>
      <w:r>
        <w:rPr>
          <w:rFonts w:eastAsia="仿宋_GB2312"/>
          <w:color w:val="000000"/>
          <w:sz w:val="32"/>
          <w:szCs w:val="32"/>
        </w:rPr>
        <w:t>做好全社会研发投入统报工作。</w:t>
      </w:r>
      <w:r>
        <w:rPr>
          <w:rFonts w:eastAsia="仿宋_GB2312"/>
          <w:sz w:val="32"/>
          <w:szCs w:val="32"/>
        </w:rPr>
        <w:t>2020年研发经费投入总量为63.43亿元，同比增长37.41%，增速位列全省第一；研发经费投入强度为1.81%，同比增长32.12％，增速位列全省一类地区第一。2020年全市基础研究投入4.64亿元，占研发经费投入比重达7.31%，在全省一类地区排第一。2021年，预计全市研发投入总量将达76亿元，强度将达2.0%</w:t>
      </w:r>
      <w:r>
        <w:rPr>
          <w:rFonts w:hint="eastAsia" w:eastAsia="仿宋_GB2312"/>
          <w:sz w:val="32"/>
          <w:szCs w:val="32"/>
        </w:rPr>
        <w:t>；</w:t>
      </w:r>
      <w:r>
        <w:rPr>
          <w:rFonts w:eastAsia="仿宋_GB2312"/>
          <w:color w:val="000000"/>
          <w:sz w:val="32"/>
          <w:szCs w:val="32"/>
        </w:rPr>
        <w:t>组织申报省级研发奖补</w:t>
      </w:r>
      <w:r>
        <w:rPr>
          <w:rFonts w:hint="eastAsia" w:eastAsia="仿宋_GB2312"/>
          <w:color w:val="000000"/>
          <w:sz w:val="32"/>
          <w:szCs w:val="32"/>
        </w:rPr>
        <w:t>，</w:t>
      </w:r>
      <w:r>
        <w:rPr>
          <w:rFonts w:eastAsia="仿宋_GB2312"/>
          <w:color w:val="000000"/>
          <w:sz w:val="32"/>
          <w:szCs w:val="32"/>
        </w:rPr>
        <w:t>引导262家企业建立了企业研发准备金制度并备案</w:t>
      </w:r>
      <w:r>
        <w:rPr>
          <w:rFonts w:hint="eastAsia" w:eastAsia="仿宋_GB2312"/>
          <w:color w:val="000000"/>
          <w:sz w:val="32"/>
          <w:szCs w:val="32"/>
        </w:rPr>
        <w:t>，</w:t>
      </w:r>
      <w:r>
        <w:rPr>
          <w:rFonts w:eastAsia="仿宋_GB2312"/>
          <w:color w:val="000000"/>
          <w:sz w:val="32"/>
          <w:szCs w:val="32"/>
        </w:rPr>
        <w:t>103家企业获省级研发奖补资金3767.39万元</w:t>
      </w:r>
      <w:r>
        <w:rPr>
          <w:rFonts w:hint="eastAsia" w:eastAsia="仿宋_GB2312"/>
          <w:color w:val="000000"/>
          <w:sz w:val="32"/>
          <w:szCs w:val="32"/>
        </w:rPr>
        <w:t>；</w:t>
      </w:r>
      <w:r>
        <w:rPr>
          <w:rFonts w:eastAsia="仿宋_GB2312"/>
          <w:sz w:val="32"/>
          <w:szCs w:val="32"/>
        </w:rPr>
        <w:t>技术交易持续活跃</w:t>
      </w:r>
      <w:r>
        <w:rPr>
          <w:rFonts w:hint="eastAsia" w:eastAsia="仿宋_GB2312"/>
          <w:sz w:val="32"/>
          <w:szCs w:val="32"/>
        </w:rPr>
        <w:t>，</w:t>
      </w:r>
      <w:r>
        <w:rPr>
          <w:rFonts w:eastAsia="仿宋_GB2312"/>
          <w:sz w:val="32"/>
          <w:szCs w:val="32"/>
        </w:rPr>
        <w:t>全市技术合同登记819件，金额59亿元，同比增长2.3倍。</w:t>
      </w:r>
    </w:p>
    <w:p w14:paraId="1C862F92">
      <w:pPr>
        <w:pBdr>
          <w:bottom w:val="single" w:color="FFFFFF" w:sz="4" w:space="31"/>
        </w:pBdr>
        <w:tabs>
          <w:tab w:val="left" w:pos="1440"/>
        </w:tabs>
        <w:adjustRightInd w:val="0"/>
        <w:snapToGrid w:val="0"/>
        <w:spacing w:line="570" w:lineRule="exact"/>
        <w:ind w:firstLine="643" w:firstLineChars="200"/>
        <w:rPr>
          <w:rFonts w:eastAsia="仿宋_GB2312"/>
          <w:color w:val="000000"/>
          <w:sz w:val="32"/>
          <w:szCs w:val="32"/>
        </w:rPr>
      </w:pPr>
      <w:r>
        <w:rPr>
          <w:rFonts w:eastAsia="楷体"/>
          <w:b/>
          <w:bCs/>
          <w:color w:val="000000"/>
          <w:sz w:val="32"/>
          <w:szCs w:val="32"/>
        </w:rPr>
        <w:t>5.</w:t>
      </w:r>
      <w:r>
        <w:rPr>
          <w:rFonts w:eastAsia="楷体"/>
          <w:b/>
          <w:bCs/>
          <w:sz w:val="32"/>
          <w:szCs w:val="32"/>
        </w:rPr>
        <w:t>加强科技攻关。</w:t>
      </w:r>
      <w:r>
        <w:rPr>
          <w:rFonts w:eastAsia="仿宋_GB2312"/>
          <w:sz w:val="32"/>
          <w:szCs w:val="32"/>
        </w:rPr>
        <w:t>组织申报国省科技项目。大合新材料的“第三代半导体”项目入选省十大技术攻关项目；向省科技厅推荐重点研发项目19个，高新技术产业创新技术引领计划项目20个，省创新平台与人才项目20个，“揭榜挂帅”项目17个；省市联合基金立项36项，同比增长80%，占全省22.4%，居全省第二；高铁学院的“高铁技术创新数字展览馆”、市农科院的“衡阳市青少年农业科普示范基地”等27个项目获省科普专题项目立项，同比增长8倍；南岳电控的“新能源发动机甲醇喷射系统技术成果转化”、特变电工的“环保型海上风电用塔筒变压器装备关键技术研究及产品研制”等6个项目被评为省重大创新项目；我市输变电和油茶产业集群入围全省重点产业集群项目，全省仅14个，我市占七分之一；我市13项科技特派员服务乡村振兴项目入列全省科技特派员服务乡村振兴项目，占比8.5%。</w:t>
      </w:r>
      <w:r>
        <w:rPr>
          <w:rFonts w:eastAsia="仿宋_GB2312"/>
          <w:color w:val="000000"/>
          <w:sz w:val="32"/>
          <w:szCs w:val="32"/>
        </w:rPr>
        <w:t>积极调度“三高四新战略产业100个重大科技创新项目”。我市正在实施的项目共9个，</w:t>
      </w:r>
      <w:r>
        <w:rPr>
          <w:rFonts w:eastAsia="仿宋_GB2312"/>
          <w:sz w:val="32"/>
          <w:szCs w:val="32"/>
        </w:rPr>
        <w:t>完成投资9.85亿元，完成研发投入投资1.52亿元</w:t>
      </w:r>
      <w:r>
        <w:rPr>
          <w:rFonts w:hint="eastAsia" w:eastAsia="仿宋_GB2312"/>
          <w:sz w:val="32"/>
          <w:szCs w:val="32"/>
        </w:rPr>
        <w:t>，</w:t>
      </w:r>
      <w:r>
        <w:rPr>
          <w:rFonts w:eastAsia="仿宋_GB2312"/>
          <w:sz w:val="32"/>
          <w:szCs w:val="32"/>
        </w:rPr>
        <w:t>申请和授权专利547件，销售收入3.42亿元，贡献税收0.38亿元，新增就业523人。</w:t>
      </w:r>
      <w:r>
        <w:rPr>
          <w:rFonts w:eastAsia="仿宋_GB2312"/>
          <w:color w:val="000000"/>
          <w:sz w:val="32"/>
          <w:szCs w:val="32"/>
        </w:rPr>
        <w:t>全市获2020年湖南省科学技术奖励11项，获省一等奖数量为近年最多的一年。全年共组织申报2021年省科技奖励27项，其中南华大学共申报奖项13个。</w:t>
      </w:r>
      <w:r>
        <w:rPr>
          <w:rFonts w:eastAsia="仿宋_GB2312"/>
          <w:sz w:val="32"/>
          <w:szCs w:val="32"/>
        </w:rPr>
        <w:t>衡南县试验示范基地第三代杂交水稻双季稻平均亩产达到1603.9公斤，再次刷新世界纪录。南华大学研发了我国首台100千瓦工业光纤激光器，该激光器是国内目前最大功率的工业光纤激光器，也是全球第二大功率的工业激光器。特变电工衡阳变压器有限公司的海上风电用塔筒变压器通过国家级鉴定，被评定为国际领先水平。</w:t>
      </w:r>
    </w:p>
    <w:p w14:paraId="45EBD282">
      <w:pPr>
        <w:pBdr>
          <w:bottom w:val="single" w:color="FFFFFF" w:sz="4" w:space="31"/>
        </w:pBdr>
        <w:tabs>
          <w:tab w:val="left" w:pos="1440"/>
        </w:tabs>
        <w:adjustRightInd w:val="0"/>
        <w:snapToGrid w:val="0"/>
        <w:spacing w:line="570" w:lineRule="exact"/>
        <w:ind w:firstLine="643" w:firstLineChars="200"/>
        <w:rPr>
          <w:rFonts w:eastAsia="仿宋_GB2312"/>
          <w:sz w:val="32"/>
          <w:szCs w:val="32"/>
        </w:rPr>
      </w:pPr>
      <w:r>
        <w:rPr>
          <w:rFonts w:eastAsia="楷体"/>
          <w:b/>
          <w:bCs/>
          <w:color w:val="000000"/>
          <w:sz w:val="32"/>
          <w:szCs w:val="32"/>
        </w:rPr>
        <w:t>6.营造创新氛围。</w:t>
      </w:r>
      <w:r>
        <w:rPr>
          <w:rFonts w:eastAsia="仿宋_GB2312"/>
          <w:sz w:val="32"/>
          <w:szCs w:val="32"/>
        </w:rPr>
        <w:t>市政府与长沙银行签订战略合作协议，共建“科技•金融”深度融合服务体系。华融湘江银行</w:t>
      </w:r>
      <w:r>
        <w:rPr>
          <w:rFonts w:hint="eastAsia" w:eastAsia="仿宋_GB2312"/>
          <w:sz w:val="32"/>
          <w:szCs w:val="32"/>
        </w:rPr>
        <w:t>、长沙银行</w:t>
      </w:r>
      <w:r>
        <w:rPr>
          <w:rFonts w:eastAsia="仿宋_GB2312"/>
          <w:sz w:val="32"/>
          <w:szCs w:val="32"/>
        </w:rPr>
        <w:t>在高新区设立科技支行。我市成功举办了2021年大数据科技传播与应用高峰论坛暨和2021人工智能年会暨AI金雁奖颁奖典礼两个“国字号”活动，有效提升了衡阳科技创新影响力。创新举办</w:t>
      </w:r>
      <w:r>
        <w:fldChar w:fldCharType="begin"/>
      </w:r>
      <w:r>
        <w:instrText xml:space="preserve"> HYPERLINK "http://www.baidu.com/link?url=0ajb_NT1o1Gx_IsqyVdsQqMY7qVimDguLGY2ifowPORJ4M-Gr-B71zoSIBPuWlGb8PxN69PKvbWHJLTB0cbTVnKQT9numSbLe1XjkmxPOYv9l-012dU-BsUQoXpO47UcPvRmVIYqdMm0XzKlSgIhdyPQCyoRw8NYqRAA82ALnlKpXU2tjDFizZhEdgf_3FXZOKjSOCbdxxBEIloFqAOIBJzqiySeUB2N05kBoa4yee7" \t "https://www.baidu.com/_blank" </w:instrText>
      </w:r>
      <w:r>
        <w:fldChar w:fldCharType="separate"/>
      </w:r>
      <w:r>
        <w:rPr>
          <w:rFonts w:eastAsia="仿宋_GB2312"/>
          <w:sz w:val="32"/>
          <w:szCs w:val="32"/>
        </w:rPr>
        <w:t>衡阳市企业发展“船山论坛”</w:t>
      </w:r>
      <w:r>
        <w:rPr>
          <w:rFonts w:eastAsia="仿宋_GB2312"/>
          <w:sz w:val="32"/>
          <w:szCs w:val="32"/>
        </w:rPr>
        <w:fldChar w:fldCharType="end"/>
      </w:r>
      <w:r>
        <w:rPr>
          <w:rFonts w:eastAsia="仿宋_GB2312"/>
          <w:sz w:val="32"/>
          <w:szCs w:val="32"/>
        </w:rPr>
        <w:t>，目前已举办51期，成为科技创新助力企业发展的靓丽名片。举办衡阳市科技成果对接会（南华大学专场），12个重大科技项目签约。</w:t>
      </w:r>
      <w:r>
        <w:rPr>
          <w:rFonts w:hint="eastAsia" w:eastAsia="仿宋_GB2312"/>
          <w:sz w:val="32"/>
          <w:szCs w:val="32"/>
        </w:rPr>
        <w:t>协调配合衡阳国家高新区、衡阳农科院、衡山科学城等单位举办科技成果对接会，一大批项目成功签约。</w:t>
      </w:r>
      <w:r>
        <w:rPr>
          <w:rFonts w:eastAsia="仿宋_GB2312"/>
          <w:sz w:val="32"/>
          <w:szCs w:val="32"/>
        </w:rPr>
        <w:t>举办科技活动周，以“百年回望：中国共产党领导科技发展”为主题，回顾衡阳科技发展的艰辛历程，进一步坚定科技自立自强的信心和决心，动员社会各界凝心聚力、砥砺奋进，谱写建设更高水平国家创新型城市的衡阳新篇章。举办2021年衡阳市第四届创新创业大赛，组织报名参赛企业208家，100家企业通过审核参加初赛，较去年增长15%，位列全省第3</w:t>
      </w:r>
      <w:r>
        <w:rPr>
          <w:rFonts w:hint="eastAsia" w:eastAsia="仿宋_GB2312"/>
          <w:sz w:val="32"/>
          <w:szCs w:val="32"/>
        </w:rPr>
        <w:t>，</w:t>
      </w:r>
      <w:r>
        <w:rPr>
          <w:rFonts w:eastAsia="仿宋_GB2312"/>
          <w:sz w:val="32"/>
          <w:szCs w:val="32"/>
        </w:rPr>
        <w:t>获得省优秀奖13个，</w:t>
      </w:r>
      <w:r>
        <w:rPr>
          <w:rFonts w:hint="eastAsia" w:eastAsia="仿宋_GB2312"/>
          <w:sz w:val="32"/>
          <w:szCs w:val="32"/>
        </w:rPr>
        <w:t>1</w:t>
      </w:r>
      <w:r>
        <w:rPr>
          <w:rFonts w:eastAsia="仿宋_GB2312"/>
          <w:sz w:val="32"/>
          <w:szCs w:val="32"/>
        </w:rPr>
        <w:t>家企业</w:t>
      </w:r>
      <w:r>
        <w:rPr>
          <w:rFonts w:hint="eastAsia" w:eastAsia="仿宋_GB2312"/>
          <w:sz w:val="32"/>
          <w:szCs w:val="32"/>
        </w:rPr>
        <w:t>获</w:t>
      </w:r>
      <w:r>
        <w:rPr>
          <w:rFonts w:eastAsia="仿宋_GB2312"/>
          <w:sz w:val="32"/>
          <w:szCs w:val="32"/>
        </w:rPr>
        <w:t>全国赛</w:t>
      </w:r>
      <w:r>
        <w:rPr>
          <w:rFonts w:hint="eastAsia" w:eastAsia="仿宋_GB2312"/>
          <w:sz w:val="32"/>
          <w:szCs w:val="32"/>
        </w:rPr>
        <w:t>优秀奖，1家企业获全国颠覆性技术创新大赛优秀奖</w:t>
      </w:r>
      <w:r>
        <w:rPr>
          <w:rFonts w:eastAsia="仿宋_GB2312"/>
          <w:sz w:val="32"/>
          <w:szCs w:val="32"/>
        </w:rPr>
        <w:t>。开展“强基固本年”“作风效能建设年”“干部能力素质提升年”等活动，全面提升干部职工能力素质，深化作风效能建设，强力推进全市科技创新工作。衡南县科技服务团和衡阳县科技服务团获评省优秀科技服务团。</w:t>
      </w:r>
    </w:p>
    <w:p w14:paraId="04216E34">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（二）部门整体支出管理及使用情况</w:t>
      </w:r>
    </w:p>
    <w:p w14:paraId="2F88EDD4">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按科目分类工资福利及对个人和家庭补助支出1097.3万元</w:t>
      </w:r>
      <w:r>
        <w:rPr>
          <w:rFonts w:ascii="仿宋" w:hAnsi="仿宋" w:eastAsia="仿宋" w:cs="仿宋"/>
          <w:sz w:val="32"/>
          <w:szCs w:val="32"/>
        </w:rPr>
        <w:t>;</w:t>
      </w:r>
      <w:r>
        <w:rPr>
          <w:rFonts w:hint="eastAsia" w:ascii="仿宋" w:hAnsi="仿宋" w:eastAsia="仿宋" w:cs="仿宋"/>
          <w:sz w:val="32"/>
          <w:szCs w:val="32"/>
        </w:rPr>
        <w:t>一般商品和服务支出446.62万元</w:t>
      </w:r>
      <w:r>
        <w:rPr>
          <w:rFonts w:ascii="仿宋" w:hAnsi="仿宋" w:eastAsia="仿宋" w:cs="仿宋"/>
          <w:sz w:val="32"/>
          <w:szCs w:val="32"/>
        </w:rPr>
        <w:t>;</w:t>
      </w:r>
      <w:r>
        <w:rPr>
          <w:rFonts w:hint="eastAsia" w:ascii="仿宋" w:hAnsi="仿宋" w:eastAsia="仿宋" w:cs="仿宋"/>
          <w:sz w:val="32"/>
          <w:szCs w:val="32"/>
        </w:rPr>
        <w:t>对企事业单位的补贴134万元。</w:t>
      </w:r>
    </w:p>
    <w:p w14:paraId="330E4799">
      <w:pPr>
        <w:pBdr>
          <w:bottom w:val="single" w:color="FFFFFF" w:sz="4" w:space="31"/>
        </w:pBdr>
        <w:tabs>
          <w:tab w:val="left" w:pos="1440"/>
        </w:tabs>
        <w:adjustRightInd w:val="0"/>
        <w:snapToGrid w:val="0"/>
        <w:spacing w:line="570" w:lineRule="exact"/>
        <w:ind w:firstLine="640" w:firstLineChars="200"/>
        <w:rPr>
          <w:rFonts w:ascii="仿宋" w:hAnsi="仿宋" w:eastAsia="仿宋" w:cs="仿宋"/>
          <w:kern w:val="0"/>
          <w:sz w:val="32"/>
          <w:szCs w:val="32"/>
        </w:rPr>
      </w:pPr>
      <w:r>
        <w:rPr>
          <w:rFonts w:hint="eastAsia" w:ascii="仿宋" w:hAnsi="仿宋" w:eastAsia="仿宋" w:cs="仿宋"/>
          <w:sz w:val="32"/>
          <w:szCs w:val="32"/>
        </w:rPr>
        <w:t>1.基本支出。2021年度基本支出1330.98万元，主要用于机关运行中人员及公用经费的开支。</w:t>
      </w:r>
      <w:r>
        <w:rPr>
          <w:rFonts w:hint="eastAsia" w:ascii="仿宋" w:hAnsi="仿宋" w:eastAsia="仿宋"/>
          <w:sz w:val="32"/>
          <w:szCs w:val="32"/>
        </w:rPr>
        <w:t>2021年实际“三公”经费支出7.96万元，比上年减少19.19%：公车运行维护费5.72万元，比上年减少26.85%;公务接待费2.24万元，比上年增加10.34%;因公出国（境）费用0万元，与上年持平。一般公共预算经费拨款支出“三公”经费6.44万元，比上年度减少1.97万元，减少23.42%：公车运行维护费4.2万元，比上年度减少2.18万元，减少34.17%;公务接待费2.24万元，比上年度增加0.21万元，增加10.34%;因公出国（境）费用0万元，与上年持平。公务接待费用增加的原因：一是</w:t>
      </w:r>
      <w:r>
        <w:rPr>
          <w:rFonts w:ascii="仿宋" w:hAnsi="仿宋" w:eastAsia="仿宋" w:cs="仿宋"/>
          <w:kern w:val="0"/>
          <w:sz w:val="32"/>
          <w:szCs w:val="32"/>
        </w:rPr>
        <w:t>国家创新型城市建设</w:t>
      </w:r>
      <w:r>
        <w:rPr>
          <w:rFonts w:hint="eastAsia" w:ascii="仿宋" w:hAnsi="仿宋" w:eastAsia="仿宋" w:cs="仿宋"/>
          <w:kern w:val="0"/>
          <w:sz w:val="32"/>
          <w:szCs w:val="32"/>
        </w:rPr>
        <w:t>的验收，开展专家验收、考察调研等工作。</w:t>
      </w:r>
    </w:p>
    <w:p w14:paraId="2A3019BD">
      <w:pPr>
        <w:pBdr>
          <w:bottom w:val="single" w:color="FFFFFF" w:sz="4" w:space="31"/>
        </w:pBdr>
        <w:tabs>
          <w:tab w:val="left" w:pos="1440"/>
        </w:tabs>
        <w:adjustRightInd w:val="0"/>
        <w:snapToGrid w:val="0"/>
        <w:spacing w:line="570" w:lineRule="exact"/>
        <w:ind w:firstLine="640" w:firstLineChars="200"/>
        <w:rPr>
          <w:rFonts w:ascii="仿宋" w:hAnsi="仿宋" w:eastAsia="仿宋"/>
          <w:sz w:val="32"/>
          <w:szCs w:val="32"/>
        </w:rPr>
      </w:pPr>
      <w:r>
        <w:rPr>
          <w:rFonts w:hint="eastAsia" w:ascii="仿宋" w:hAnsi="仿宋" w:eastAsia="仿宋"/>
          <w:sz w:val="32"/>
          <w:szCs w:val="32"/>
        </w:rPr>
        <w:t>2021年机关运行经费212.62万元，比上年增加22.99万元，增加12.12%。原因是2020年事业单位改革产生并支付给涉改人员的改制成本。</w:t>
      </w:r>
    </w:p>
    <w:p w14:paraId="0E769EA1">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2.项目支出。严格按照专项资金使用范围，保证项目资金的专款专用。2021年度局项目实际支出346.94万元，项目支出财政预算为484万元。主要项目：孵化中心运行50万元、2021年市科技计划项目专项346万元。</w:t>
      </w:r>
    </w:p>
    <w:p w14:paraId="03A944E9">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（三）绩效自评情况</w:t>
      </w:r>
    </w:p>
    <w:p w14:paraId="664F7F27">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1.预算配置方面。财政供养人员控制在预算编制以内，编制内在职人员控制率86.36%，不存在超编现象。“三公”经费预算与上年持平。重点工作办结率100%。</w:t>
      </w:r>
    </w:p>
    <w:p w14:paraId="468869F1">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2.预算执行方面。支出总额控制在预算总额以内，预算完成率100%，除专项资金的追加和政策性工资绩效预算的追加外，本年部门预算未进行相关事项的调整。</w:t>
      </w:r>
    </w:p>
    <w:p w14:paraId="3D41E1EB">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3.预算管理方面。我局2021年度公用经费控制率77.56%， “三公”经费控制率为21.18%，资金拨付严格按照审批程序和手续，预、决算信息及时进行公开，对预算实行动态管理，整体预算管理符合相关标准和要求，各类专项资金均明确相应管理办法，确保资金使用合规。</w:t>
      </w:r>
    </w:p>
    <w:p w14:paraId="7D7DBB63">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4.履职效益方面。2021年，我局积极改进工作作风，提升工作效能，进一步规范经费及资产管理。通过社会调查，服务对象满意度高。我局荣获2021年度全市绩效评估优秀单位、2021年度平安建设考核评估优秀单位。</w:t>
      </w:r>
    </w:p>
    <w:p w14:paraId="6113A3DB">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（四）存在问题与建议</w:t>
      </w:r>
    </w:p>
    <w:p w14:paraId="022879AE">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1.存在问题：一是基本支出经费保障水平偏低。我局预算执行基本围绕保人员经费、保正常运转进行。从决算情况看基本支出比重比较大，基本保障面临巨大压力</w:t>
      </w:r>
      <w:r>
        <w:rPr>
          <w:rFonts w:ascii="仿宋" w:hAnsi="仿宋" w:eastAsia="仿宋" w:cs="仿宋"/>
          <w:sz w:val="32"/>
          <w:szCs w:val="32"/>
        </w:rPr>
        <w:t>;</w:t>
      </w:r>
      <w:r>
        <w:rPr>
          <w:rFonts w:hint="eastAsia" w:ascii="仿宋" w:hAnsi="仿宋" w:eastAsia="仿宋" w:cs="仿宋"/>
          <w:sz w:val="32"/>
          <w:szCs w:val="32"/>
        </w:rPr>
        <w:t>二是“三公”经费预算数与实际支出数差异较大;三是项目经费追加预算时间滞后，导致部分项目经费支出滞后;四是资产管理中管理制度有待健全。</w:t>
      </w:r>
    </w:p>
    <w:p w14:paraId="3BCF5149">
      <w:pPr>
        <w:pBdr>
          <w:bottom w:val="single" w:color="FFFFFF" w:sz="4" w:space="31"/>
        </w:pBdr>
        <w:tabs>
          <w:tab w:val="left" w:pos="1440"/>
        </w:tabs>
        <w:adjustRightInd w:val="0"/>
        <w:snapToGrid w:val="0"/>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2.下一步改进措施。一是科学编制预算，严格执行预算;二是合理执行预算，确保效益最大化;三是完善财务、资产等管理制度，规范报批手续;四是增强节约意识，努力建设节约型机关单位。</w:t>
      </w:r>
    </w:p>
    <w:p w14:paraId="6C35F21E">
      <w:pPr>
        <w:pBdr>
          <w:bottom w:val="single" w:color="FFFFFF" w:sz="4" w:space="31"/>
        </w:pBdr>
        <w:tabs>
          <w:tab w:val="left" w:pos="1440"/>
        </w:tabs>
        <w:adjustRightInd w:val="0"/>
        <w:snapToGrid w:val="0"/>
        <w:spacing w:line="570" w:lineRule="exact"/>
        <w:ind w:firstLine="643" w:firstLineChars="200"/>
        <w:rPr>
          <w:rFonts w:eastAsia="仿宋"/>
          <w:b/>
          <w:sz w:val="32"/>
          <w:szCs w:val="32"/>
        </w:rPr>
      </w:pPr>
      <w:r>
        <w:rPr>
          <w:rFonts w:hint="eastAsia" w:eastAsia="仿宋"/>
          <w:b/>
          <w:color w:val="000000"/>
          <w:kern w:val="0"/>
          <w:sz w:val="32"/>
          <w:szCs w:val="32"/>
        </w:rPr>
        <w:t>二、</w:t>
      </w:r>
      <w:r>
        <w:rPr>
          <w:rFonts w:eastAsia="仿宋"/>
          <w:b/>
          <w:sz w:val="32"/>
          <w:szCs w:val="32"/>
        </w:rPr>
        <w:t>科技专项资金分配安排和使用管理情况</w:t>
      </w:r>
    </w:p>
    <w:p w14:paraId="61865225">
      <w:pPr>
        <w:pBdr>
          <w:bottom w:val="single" w:color="FFFFFF" w:sz="4" w:space="31"/>
        </w:pBdr>
        <w:tabs>
          <w:tab w:val="left" w:pos="1440"/>
        </w:tabs>
        <w:adjustRightInd w:val="0"/>
        <w:snapToGrid w:val="0"/>
        <w:spacing w:line="570" w:lineRule="exact"/>
        <w:ind w:firstLine="640" w:firstLineChars="200"/>
        <w:rPr>
          <w:rFonts w:eastAsia="仿宋"/>
          <w:sz w:val="32"/>
          <w:szCs w:val="32"/>
        </w:rPr>
      </w:pPr>
      <w:r>
        <w:rPr>
          <w:rFonts w:eastAsia="仿宋"/>
          <w:color w:val="000000"/>
          <w:kern w:val="0"/>
          <w:sz w:val="32"/>
          <w:szCs w:val="32"/>
        </w:rPr>
        <w:t>按照《衡阳市财政局关于开展2021年度预算支出绩效自评工作的通知》要求，我局对</w:t>
      </w:r>
      <w:r>
        <w:rPr>
          <w:rFonts w:eastAsia="仿宋"/>
          <w:sz w:val="32"/>
          <w:szCs w:val="32"/>
        </w:rPr>
        <w:t>2021年度市级科技计划项目专项资金2201万元进行了绩效自评，现将科技专项资金分配安排和使用管理情况报告如下：</w:t>
      </w:r>
    </w:p>
    <w:p w14:paraId="1FEA1A8E">
      <w:pPr>
        <w:pBdr>
          <w:bottom w:val="single" w:color="FFFFFF" w:sz="4" w:space="31"/>
        </w:pBdr>
        <w:tabs>
          <w:tab w:val="left" w:pos="1440"/>
        </w:tabs>
        <w:adjustRightInd w:val="0"/>
        <w:snapToGrid w:val="0"/>
        <w:spacing w:line="570" w:lineRule="exact"/>
        <w:ind w:firstLine="640" w:firstLineChars="200"/>
        <w:rPr>
          <w:rFonts w:eastAsia="微软雅黑"/>
          <w:sz w:val="32"/>
          <w:szCs w:val="32"/>
        </w:rPr>
      </w:pPr>
      <w:r>
        <w:rPr>
          <w:rFonts w:eastAsia="微软雅黑"/>
          <w:sz w:val="32"/>
          <w:szCs w:val="32"/>
        </w:rPr>
        <w:t>一、基本情况</w:t>
      </w:r>
    </w:p>
    <w:p w14:paraId="248B20DB">
      <w:pPr>
        <w:pBdr>
          <w:bottom w:val="single" w:color="FFFFFF" w:sz="4" w:space="31"/>
        </w:pBdr>
        <w:tabs>
          <w:tab w:val="left" w:pos="1440"/>
        </w:tabs>
        <w:adjustRightInd w:val="0"/>
        <w:snapToGrid w:val="0"/>
        <w:spacing w:line="570" w:lineRule="exact"/>
        <w:ind w:firstLine="640" w:firstLineChars="200"/>
        <w:rPr>
          <w:rFonts w:eastAsia="仿宋"/>
          <w:sz w:val="32"/>
          <w:szCs w:val="32"/>
        </w:rPr>
      </w:pPr>
      <w:r>
        <w:rPr>
          <w:rFonts w:eastAsia="仿宋"/>
          <w:snapToGrid w:val="0"/>
          <w:kern w:val="0"/>
          <w:sz w:val="32"/>
          <w:szCs w:val="32"/>
        </w:rPr>
        <w:t>2021年度</w:t>
      </w:r>
      <w:r>
        <w:rPr>
          <w:rFonts w:eastAsia="仿宋"/>
          <w:sz w:val="32"/>
          <w:szCs w:val="32"/>
        </w:rPr>
        <w:t>2201</w:t>
      </w:r>
      <w:r>
        <w:rPr>
          <w:rFonts w:eastAsia="仿宋"/>
          <w:snapToGrid w:val="0"/>
          <w:kern w:val="0"/>
          <w:sz w:val="32"/>
          <w:szCs w:val="32"/>
        </w:rPr>
        <w:t>万元的科技项目专项资金共安排168个项目，全部</w:t>
      </w:r>
      <w:r>
        <w:rPr>
          <w:rFonts w:eastAsia="仿宋"/>
          <w:sz w:val="32"/>
          <w:szCs w:val="32"/>
        </w:rPr>
        <w:t>采取无偿补助方式。所有项目都坚持</w:t>
      </w:r>
      <w:r>
        <w:rPr>
          <w:rFonts w:eastAsia="仿宋"/>
          <w:snapToGrid w:val="0"/>
          <w:kern w:val="0"/>
          <w:sz w:val="32"/>
          <w:szCs w:val="32"/>
        </w:rPr>
        <w:t>突出重点领域、突出科技创新、突出引导为主的</w:t>
      </w:r>
      <w:r>
        <w:rPr>
          <w:rFonts w:eastAsia="仿宋"/>
          <w:sz w:val="32"/>
          <w:szCs w:val="32"/>
        </w:rPr>
        <w:t>立项原则。按区域划分如下表所示：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CDB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DCD8C2"/>
          </w:tcPr>
          <w:p w14:paraId="2D2927C0">
            <w:pPr>
              <w:adjustRightInd w:val="0"/>
              <w:snapToGrid w:val="0"/>
              <w:spacing w:line="570" w:lineRule="exact"/>
              <w:jc w:val="center"/>
              <w:rPr>
                <w:rFonts w:eastAsia="方正小标宋简体"/>
                <w:snapToGrid w:val="0"/>
                <w:kern w:val="0"/>
                <w:sz w:val="28"/>
                <w:szCs w:val="28"/>
              </w:rPr>
            </w:pPr>
            <w:r>
              <w:rPr>
                <w:rFonts w:eastAsia="方正小标宋简体"/>
                <w:snapToGrid w:val="0"/>
                <w:kern w:val="0"/>
                <w:sz w:val="28"/>
                <w:szCs w:val="28"/>
              </w:rPr>
              <w:t>县市区</w:t>
            </w:r>
          </w:p>
        </w:tc>
        <w:tc>
          <w:tcPr>
            <w:tcW w:w="2841" w:type="dxa"/>
            <w:shd w:val="clear" w:color="auto" w:fill="DCD8C2"/>
          </w:tcPr>
          <w:p w14:paraId="242075D3">
            <w:pPr>
              <w:adjustRightInd w:val="0"/>
              <w:snapToGrid w:val="0"/>
              <w:spacing w:line="570" w:lineRule="exact"/>
              <w:jc w:val="center"/>
              <w:rPr>
                <w:rFonts w:eastAsia="方正小标宋简体"/>
                <w:snapToGrid w:val="0"/>
                <w:kern w:val="0"/>
                <w:sz w:val="28"/>
                <w:szCs w:val="28"/>
              </w:rPr>
            </w:pPr>
            <w:r>
              <w:rPr>
                <w:rFonts w:eastAsia="方正小标宋简体"/>
                <w:snapToGrid w:val="0"/>
                <w:kern w:val="0"/>
                <w:sz w:val="28"/>
                <w:szCs w:val="28"/>
              </w:rPr>
              <w:t>项目数</w:t>
            </w:r>
          </w:p>
        </w:tc>
        <w:tc>
          <w:tcPr>
            <w:tcW w:w="2841" w:type="dxa"/>
            <w:shd w:val="clear" w:color="auto" w:fill="DCD8C2"/>
          </w:tcPr>
          <w:p w14:paraId="7005BF97">
            <w:pPr>
              <w:adjustRightInd w:val="0"/>
              <w:snapToGrid w:val="0"/>
              <w:spacing w:line="570" w:lineRule="exact"/>
              <w:jc w:val="center"/>
              <w:rPr>
                <w:rFonts w:eastAsia="方正小标宋简体"/>
                <w:snapToGrid w:val="0"/>
                <w:kern w:val="0"/>
                <w:sz w:val="28"/>
                <w:szCs w:val="28"/>
              </w:rPr>
            </w:pPr>
            <w:r>
              <w:rPr>
                <w:rFonts w:eastAsia="方正小标宋简体"/>
                <w:snapToGrid w:val="0"/>
                <w:kern w:val="0"/>
                <w:sz w:val="28"/>
                <w:szCs w:val="28"/>
              </w:rPr>
              <w:t>金额（万元）</w:t>
            </w:r>
          </w:p>
        </w:tc>
      </w:tr>
      <w:tr w14:paraId="1DB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41BC23F">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市本级</w:t>
            </w:r>
          </w:p>
        </w:tc>
        <w:tc>
          <w:tcPr>
            <w:tcW w:w="2841" w:type="dxa"/>
          </w:tcPr>
          <w:p w14:paraId="7BED0D4C">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52</w:t>
            </w:r>
          </w:p>
        </w:tc>
        <w:tc>
          <w:tcPr>
            <w:tcW w:w="2841" w:type="dxa"/>
          </w:tcPr>
          <w:p w14:paraId="320899F9">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656</w:t>
            </w:r>
          </w:p>
        </w:tc>
      </w:tr>
      <w:tr w14:paraId="5001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2CA572D">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珠晖区</w:t>
            </w:r>
          </w:p>
        </w:tc>
        <w:tc>
          <w:tcPr>
            <w:tcW w:w="2841" w:type="dxa"/>
          </w:tcPr>
          <w:p w14:paraId="04F7A1DB">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9</w:t>
            </w:r>
          </w:p>
        </w:tc>
        <w:tc>
          <w:tcPr>
            <w:tcW w:w="2841" w:type="dxa"/>
          </w:tcPr>
          <w:p w14:paraId="5CBB7072">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105</w:t>
            </w:r>
          </w:p>
        </w:tc>
      </w:tr>
      <w:tr w14:paraId="4239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E45BC2E">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雁峰区</w:t>
            </w:r>
          </w:p>
        </w:tc>
        <w:tc>
          <w:tcPr>
            <w:tcW w:w="2841" w:type="dxa"/>
          </w:tcPr>
          <w:p w14:paraId="6C623FB0">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8</w:t>
            </w:r>
          </w:p>
        </w:tc>
        <w:tc>
          <w:tcPr>
            <w:tcW w:w="2841" w:type="dxa"/>
          </w:tcPr>
          <w:p w14:paraId="3D65F155">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120</w:t>
            </w:r>
          </w:p>
        </w:tc>
      </w:tr>
      <w:tr w14:paraId="789D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D565FA">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石鼓区</w:t>
            </w:r>
          </w:p>
        </w:tc>
        <w:tc>
          <w:tcPr>
            <w:tcW w:w="2841" w:type="dxa"/>
          </w:tcPr>
          <w:p w14:paraId="2A9FD714">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6</w:t>
            </w:r>
          </w:p>
        </w:tc>
        <w:tc>
          <w:tcPr>
            <w:tcW w:w="2841" w:type="dxa"/>
          </w:tcPr>
          <w:p w14:paraId="5F28307C">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60</w:t>
            </w:r>
          </w:p>
        </w:tc>
      </w:tr>
      <w:tr w14:paraId="0F3C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9E05ECA">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蒸湘区</w:t>
            </w:r>
          </w:p>
        </w:tc>
        <w:tc>
          <w:tcPr>
            <w:tcW w:w="2841" w:type="dxa"/>
          </w:tcPr>
          <w:p w14:paraId="24C1199C">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9</w:t>
            </w:r>
          </w:p>
        </w:tc>
        <w:tc>
          <w:tcPr>
            <w:tcW w:w="2841" w:type="dxa"/>
          </w:tcPr>
          <w:p w14:paraId="7F1D97B2">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90</w:t>
            </w:r>
          </w:p>
        </w:tc>
      </w:tr>
      <w:tr w14:paraId="6DD0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360E215">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南岳区</w:t>
            </w:r>
          </w:p>
        </w:tc>
        <w:tc>
          <w:tcPr>
            <w:tcW w:w="2841" w:type="dxa"/>
          </w:tcPr>
          <w:p w14:paraId="5F40D728">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2</w:t>
            </w:r>
          </w:p>
        </w:tc>
        <w:tc>
          <w:tcPr>
            <w:tcW w:w="2841" w:type="dxa"/>
          </w:tcPr>
          <w:p w14:paraId="179A5A43">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15</w:t>
            </w:r>
          </w:p>
        </w:tc>
      </w:tr>
      <w:tr w14:paraId="7AE0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53F9270">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高新区</w:t>
            </w:r>
          </w:p>
        </w:tc>
        <w:tc>
          <w:tcPr>
            <w:tcW w:w="2841" w:type="dxa"/>
          </w:tcPr>
          <w:p w14:paraId="10F0811A">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11</w:t>
            </w:r>
          </w:p>
        </w:tc>
        <w:tc>
          <w:tcPr>
            <w:tcW w:w="2841" w:type="dxa"/>
          </w:tcPr>
          <w:p w14:paraId="7DC07E70">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185</w:t>
            </w:r>
          </w:p>
        </w:tc>
      </w:tr>
      <w:tr w14:paraId="59D0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B1958C5">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白沙工业园区</w:t>
            </w:r>
          </w:p>
        </w:tc>
        <w:tc>
          <w:tcPr>
            <w:tcW w:w="2841" w:type="dxa"/>
          </w:tcPr>
          <w:p w14:paraId="3E697BDD">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4</w:t>
            </w:r>
          </w:p>
        </w:tc>
        <w:tc>
          <w:tcPr>
            <w:tcW w:w="2841" w:type="dxa"/>
          </w:tcPr>
          <w:p w14:paraId="01503592">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100</w:t>
            </w:r>
          </w:p>
        </w:tc>
      </w:tr>
      <w:tr w14:paraId="6960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153BCAA">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松木经开区</w:t>
            </w:r>
          </w:p>
        </w:tc>
        <w:tc>
          <w:tcPr>
            <w:tcW w:w="2841" w:type="dxa"/>
          </w:tcPr>
          <w:p w14:paraId="5C339599">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5</w:t>
            </w:r>
          </w:p>
        </w:tc>
        <w:tc>
          <w:tcPr>
            <w:tcW w:w="2841" w:type="dxa"/>
          </w:tcPr>
          <w:p w14:paraId="015686FF">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135</w:t>
            </w:r>
          </w:p>
        </w:tc>
      </w:tr>
      <w:tr w14:paraId="1A21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EC1629">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衡山科学城</w:t>
            </w:r>
          </w:p>
        </w:tc>
        <w:tc>
          <w:tcPr>
            <w:tcW w:w="2841" w:type="dxa"/>
          </w:tcPr>
          <w:p w14:paraId="086C4D2A">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9</w:t>
            </w:r>
          </w:p>
        </w:tc>
        <w:tc>
          <w:tcPr>
            <w:tcW w:w="2841" w:type="dxa"/>
          </w:tcPr>
          <w:p w14:paraId="653A3DFF">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135</w:t>
            </w:r>
          </w:p>
        </w:tc>
      </w:tr>
      <w:tr w14:paraId="46B8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05492F">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衡南县</w:t>
            </w:r>
          </w:p>
        </w:tc>
        <w:tc>
          <w:tcPr>
            <w:tcW w:w="2841" w:type="dxa"/>
          </w:tcPr>
          <w:p w14:paraId="6B23E095">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6</w:t>
            </w:r>
          </w:p>
        </w:tc>
        <w:tc>
          <w:tcPr>
            <w:tcW w:w="2841" w:type="dxa"/>
          </w:tcPr>
          <w:p w14:paraId="23723156">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45</w:t>
            </w:r>
          </w:p>
        </w:tc>
      </w:tr>
      <w:tr w14:paraId="55C0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0561BB">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衡阳县</w:t>
            </w:r>
          </w:p>
        </w:tc>
        <w:tc>
          <w:tcPr>
            <w:tcW w:w="2841" w:type="dxa"/>
          </w:tcPr>
          <w:p w14:paraId="09993825">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8</w:t>
            </w:r>
          </w:p>
        </w:tc>
        <w:tc>
          <w:tcPr>
            <w:tcW w:w="2841" w:type="dxa"/>
          </w:tcPr>
          <w:p w14:paraId="58090E4B">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90</w:t>
            </w:r>
          </w:p>
        </w:tc>
      </w:tr>
      <w:tr w14:paraId="7A41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8685524">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衡山县</w:t>
            </w:r>
          </w:p>
        </w:tc>
        <w:tc>
          <w:tcPr>
            <w:tcW w:w="2841" w:type="dxa"/>
          </w:tcPr>
          <w:p w14:paraId="1DA129E3">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7</w:t>
            </w:r>
          </w:p>
        </w:tc>
        <w:tc>
          <w:tcPr>
            <w:tcW w:w="2841" w:type="dxa"/>
          </w:tcPr>
          <w:p w14:paraId="18EB3D10">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55</w:t>
            </w:r>
          </w:p>
        </w:tc>
      </w:tr>
      <w:tr w14:paraId="612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BD12D4A">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衡东县</w:t>
            </w:r>
          </w:p>
        </w:tc>
        <w:tc>
          <w:tcPr>
            <w:tcW w:w="2841" w:type="dxa"/>
          </w:tcPr>
          <w:p w14:paraId="458ACB9C">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6</w:t>
            </w:r>
          </w:p>
        </w:tc>
        <w:tc>
          <w:tcPr>
            <w:tcW w:w="2841" w:type="dxa"/>
          </w:tcPr>
          <w:p w14:paraId="3433BA80">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45</w:t>
            </w:r>
          </w:p>
        </w:tc>
      </w:tr>
      <w:tr w14:paraId="6B13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914F775">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常宁市</w:t>
            </w:r>
          </w:p>
        </w:tc>
        <w:tc>
          <w:tcPr>
            <w:tcW w:w="2841" w:type="dxa"/>
          </w:tcPr>
          <w:p w14:paraId="0F514E97">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8</w:t>
            </w:r>
          </w:p>
        </w:tc>
        <w:tc>
          <w:tcPr>
            <w:tcW w:w="2841" w:type="dxa"/>
          </w:tcPr>
          <w:p w14:paraId="0BA10D4D">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90</w:t>
            </w:r>
          </w:p>
        </w:tc>
      </w:tr>
      <w:tr w14:paraId="0AB4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E3E20B">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祁东县</w:t>
            </w:r>
          </w:p>
        </w:tc>
        <w:tc>
          <w:tcPr>
            <w:tcW w:w="2841" w:type="dxa"/>
          </w:tcPr>
          <w:p w14:paraId="056AA5E9">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9</w:t>
            </w:r>
          </w:p>
        </w:tc>
        <w:tc>
          <w:tcPr>
            <w:tcW w:w="2841" w:type="dxa"/>
          </w:tcPr>
          <w:p w14:paraId="121F03C9">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140</w:t>
            </w:r>
          </w:p>
        </w:tc>
      </w:tr>
      <w:tr w14:paraId="7759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630162E">
            <w:pPr>
              <w:adjustRightInd w:val="0"/>
              <w:snapToGrid w:val="0"/>
              <w:spacing w:line="570" w:lineRule="exact"/>
              <w:jc w:val="center"/>
              <w:rPr>
                <w:rFonts w:eastAsia="仿宋"/>
                <w:snapToGrid w:val="0"/>
                <w:kern w:val="0"/>
                <w:sz w:val="28"/>
                <w:szCs w:val="28"/>
              </w:rPr>
            </w:pPr>
            <w:r>
              <w:rPr>
                <w:rFonts w:eastAsia="仿宋"/>
                <w:snapToGrid w:val="0"/>
                <w:kern w:val="0"/>
                <w:sz w:val="28"/>
                <w:szCs w:val="28"/>
              </w:rPr>
              <w:t>耒阳市</w:t>
            </w:r>
          </w:p>
        </w:tc>
        <w:tc>
          <w:tcPr>
            <w:tcW w:w="2841" w:type="dxa"/>
          </w:tcPr>
          <w:p w14:paraId="0D0AE351">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9</w:t>
            </w:r>
          </w:p>
        </w:tc>
        <w:tc>
          <w:tcPr>
            <w:tcW w:w="2841" w:type="dxa"/>
          </w:tcPr>
          <w:p w14:paraId="27717EA3">
            <w:pPr>
              <w:adjustRightInd w:val="0"/>
              <w:snapToGrid w:val="0"/>
              <w:spacing w:line="570" w:lineRule="exact"/>
              <w:jc w:val="center"/>
              <w:rPr>
                <w:rFonts w:eastAsia="仿宋"/>
                <w:snapToGrid w:val="0"/>
                <w:kern w:val="0"/>
                <w:sz w:val="28"/>
                <w:szCs w:val="28"/>
              </w:rPr>
            </w:pPr>
            <w:r>
              <w:rPr>
                <w:rFonts w:hint="eastAsia" w:eastAsia="仿宋"/>
                <w:snapToGrid w:val="0"/>
                <w:kern w:val="0"/>
                <w:sz w:val="28"/>
                <w:szCs w:val="28"/>
              </w:rPr>
              <w:t>135</w:t>
            </w:r>
          </w:p>
        </w:tc>
      </w:tr>
      <w:tr w14:paraId="4520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DCD8C2"/>
          </w:tcPr>
          <w:p w14:paraId="3CA13408">
            <w:pPr>
              <w:adjustRightInd w:val="0"/>
              <w:snapToGrid w:val="0"/>
              <w:spacing w:line="570" w:lineRule="exact"/>
              <w:jc w:val="center"/>
              <w:rPr>
                <w:rFonts w:eastAsia="方正小标宋简体"/>
                <w:snapToGrid w:val="0"/>
                <w:kern w:val="0"/>
                <w:sz w:val="28"/>
                <w:szCs w:val="28"/>
              </w:rPr>
            </w:pPr>
            <w:r>
              <w:rPr>
                <w:rFonts w:hint="eastAsia" w:eastAsia="方正小标宋简体"/>
                <w:snapToGrid w:val="0"/>
                <w:kern w:val="0"/>
                <w:sz w:val="28"/>
                <w:szCs w:val="28"/>
              </w:rPr>
              <w:t>合计</w:t>
            </w:r>
          </w:p>
        </w:tc>
        <w:tc>
          <w:tcPr>
            <w:tcW w:w="2841" w:type="dxa"/>
            <w:shd w:val="clear" w:color="auto" w:fill="DCD8C2"/>
          </w:tcPr>
          <w:p w14:paraId="455851E9">
            <w:pPr>
              <w:adjustRightInd w:val="0"/>
              <w:snapToGrid w:val="0"/>
              <w:spacing w:line="570" w:lineRule="exact"/>
              <w:jc w:val="center"/>
              <w:rPr>
                <w:rFonts w:eastAsia="方正小标宋简体"/>
                <w:snapToGrid w:val="0"/>
                <w:kern w:val="0"/>
                <w:sz w:val="28"/>
                <w:szCs w:val="28"/>
              </w:rPr>
            </w:pPr>
            <w:r>
              <w:rPr>
                <w:rFonts w:hint="eastAsia" w:eastAsia="方正小标宋简体"/>
                <w:snapToGrid w:val="0"/>
                <w:kern w:val="0"/>
                <w:sz w:val="28"/>
                <w:szCs w:val="28"/>
              </w:rPr>
              <w:t>168</w:t>
            </w:r>
          </w:p>
        </w:tc>
        <w:tc>
          <w:tcPr>
            <w:tcW w:w="2841" w:type="dxa"/>
            <w:shd w:val="clear" w:color="auto" w:fill="DCD8C2"/>
          </w:tcPr>
          <w:p w14:paraId="6545213D">
            <w:pPr>
              <w:adjustRightInd w:val="0"/>
              <w:snapToGrid w:val="0"/>
              <w:spacing w:line="570" w:lineRule="exact"/>
              <w:jc w:val="center"/>
              <w:rPr>
                <w:rFonts w:eastAsia="方正小标宋简体"/>
                <w:snapToGrid w:val="0"/>
                <w:kern w:val="0"/>
                <w:sz w:val="28"/>
                <w:szCs w:val="28"/>
              </w:rPr>
            </w:pPr>
            <w:r>
              <w:rPr>
                <w:rFonts w:hint="eastAsia" w:eastAsia="方正小标宋简体"/>
                <w:snapToGrid w:val="0"/>
                <w:kern w:val="0"/>
                <w:sz w:val="28"/>
                <w:szCs w:val="28"/>
              </w:rPr>
              <w:t>2201</w:t>
            </w:r>
          </w:p>
        </w:tc>
      </w:tr>
    </w:tbl>
    <w:p w14:paraId="136CD4CC">
      <w:pPr>
        <w:adjustRightInd w:val="0"/>
        <w:snapToGrid w:val="0"/>
        <w:spacing w:line="570" w:lineRule="exact"/>
        <w:rPr>
          <w:rFonts w:eastAsia="仿宋"/>
          <w:snapToGrid w:val="0"/>
          <w:kern w:val="0"/>
          <w:sz w:val="32"/>
          <w:szCs w:val="32"/>
        </w:rPr>
      </w:pPr>
    </w:p>
    <w:p w14:paraId="3A225AB8">
      <w:pPr>
        <w:spacing w:line="570" w:lineRule="exact"/>
        <w:ind w:firstLine="640" w:firstLineChars="200"/>
        <w:rPr>
          <w:rFonts w:eastAsia="微软雅黑"/>
          <w:sz w:val="32"/>
          <w:szCs w:val="32"/>
        </w:rPr>
      </w:pPr>
      <w:r>
        <w:rPr>
          <w:rFonts w:eastAsia="微软雅黑"/>
          <w:sz w:val="32"/>
          <w:szCs w:val="32"/>
        </w:rPr>
        <w:t>二、绩效评价情况</w:t>
      </w:r>
    </w:p>
    <w:p w14:paraId="266766E6">
      <w:pPr>
        <w:adjustRightInd w:val="0"/>
        <w:snapToGrid w:val="0"/>
        <w:spacing w:line="590" w:lineRule="exact"/>
        <w:ind w:firstLine="640" w:firstLineChars="200"/>
        <w:rPr>
          <w:rFonts w:eastAsia="仿宋_GB2312"/>
          <w:sz w:val="32"/>
          <w:szCs w:val="32"/>
        </w:rPr>
      </w:pPr>
      <w:r>
        <w:rPr>
          <w:rFonts w:eastAsia="仿宋"/>
          <w:sz w:val="32"/>
          <w:szCs w:val="32"/>
        </w:rPr>
        <w:t>2021年度安排全市科技专项资金</w:t>
      </w:r>
      <w:r>
        <w:rPr>
          <w:rFonts w:hint="eastAsia" w:eastAsia="仿宋"/>
          <w:sz w:val="32"/>
          <w:szCs w:val="32"/>
        </w:rPr>
        <w:t>2201</w:t>
      </w:r>
      <w:r>
        <w:rPr>
          <w:rFonts w:eastAsia="仿宋"/>
          <w:sz w:val="32"/>
          <w:szCs w:val="32"/>
        </w:rPr>
        <w:t>万元，由市财政部门拨付下达各项目申报单位。</w:t>
      </w:r>
      <w:r>
        <w:rPr>
          <w:rFonts w:hint="eastAsia" w:eastAsia="仿宋"/>
          <w:sz w:val="32"/>
          <w:szCs w:val="32"/>
        </w:rPr>
        <w:t>市科技局</w:t>
      </w:r>
      <w:r>
        <w:rPr>
          <w:rFonts w:hint="eastAsia" w:ascii="仿宋_GB2312" w:hAnsi="仿宋_GB2312" w:eastAsia="仿宋_GB2312" w:cs="仿宋_GB2312"/>
          <w:sz w:val="32"/>
          <w:szCs w:val="32"/>
        </w:rPr>
        <w:t>结合项目绩效评价工作，加大对项目的监督检查力度，</w:t>
      </w:r>
      <w:r>
        <w:rPr>
          <w:rStyle w:val="14"/>
          <w:rFonts w:hint="eastAsia" w:eastAsia="仿宋_GB2312"/>
          <w:sz w:val="32"/>
          <w:szCs w:val="32"/>
        </w:rPr>
        <w:t>配合审计部门对特变电工等8家项目单位开展现场抽查。</w:t>
      </w:r>
      <w:r>
        <w:rPr>
          <w:rFonts w:eastAsia="仿宋"/>
          <w:sz w:val="32"/>
          <w:szCs w:val="32"/>
        </w:rPr>
        <w:t>各项目申报单位严格按照项目申报书条款要求和合同约定，建立了较为健全的内控制度和管理制度，有序组织实施开展项目研究工作，项目实施进展顺利，主要体现在以下几个方面：</w:t>
      </w:r>
      <w:r>
        <w:rPr>
          <w:rFonts w:eastAsia="仿宋"/>
          <w:b/>
          <w:bCs/>
          <w:sz w:val="32"/>
          <w:szCs w:val="32"/>
        </w:rPr>
        <w:t>一是成功获批国家创新型城市。</w:t>
      </w:r>
      <w:bookmarkStart w:id="0" w:name="_Hlk58964578"/>
      <w:r>
        <w:rPr>
          <w:rFonts w:hint="eastAsia" w:eastAsia="仿宋"/>
          <w:sz w:val="32"/>
          <w:szCs w:val="32"/>
        </w:rPr>
        <w:t>2021年</w:t>
      </w:r>
      <w:r>
        <w:rPr>
          <w:rFonts w:eastAsia="仿宋"/>
          <w:sz w:val="32"/>
          <w:szCs w:val="32"/>
        </w:rPr>
        <w:t>5月科技部组织专家来衡评估国家创新型城市建设，并召开国家创新型城市评估汇报会。专家组（组长齐让，中国科协原副主席）给予极高评价，肯定衡阳科技创新工作跑出了“衡阳速度”，创造了“衡阳模式”，贡献了“衡阳经验”，取得了显著成效。12月31日科技部发文反馈国家创新型城市建设评估结果，衡阳顺利通过评估。我市在获批“科创中国”试点城市之后，又添一块“金字招牌”</w:t>
      </w:r>
      <w:bookmarkEnd w:id="0"/>
      <w:r>
        <w:rPr>
          <w:rFonts w:eastAsia="仿宋"/>
          <w:sz w:val="32"/>
          <w:szCs w:val="32"/>
        </w:rPr>
        <w:t>；</w:t>
      </w:r>
      <w:r>
        <w:rPr>
          <w:rFonts w:eastAsia="仿宋"/>
          <w:b/>
          <w:bCs/>
          <w:sz w:val="32"/>
          <w:szCs w:val="32"/>
        </w:rPr>
        <w:t>二是搭建创新平台。</w:t>
      </w:r>
      <w:r>
        <w:rPr>
          <w:rFonts w:eastAsia="仿宋_GB2312"/>
          <w:sz w:val="32"/>
          <w:szCs w:val="32"/>
        </w:rPr>
        <w:t>新增省级以上研发及创新创业服务平台1</w:t>
      </w:r>
      <w:r>
        <w:rPr>
          <w:rFonts w:hint="eastAsia" w:eastAsia="仿宋_GB2312"/>
          <w:sz w:val="32"/>
          <w:szCs w:val="32"/>
        </w:rPr>
        <w:t>8</w:t>
      </w:r>
      <w:r>
        <w:rPr>
          <w:rFonts w:eastAsia="仿宋_GB2312"/>
          <w:sz w:val="32"/>
          <w:szCs w:val="32"/>
        </w:rPr>
        <w:t>家</w:t>
      </w:r>
      <w:r>
        <w:rPr>
          <w:rFonts w:hint="eastAsia" w:eastAsia="仿宋_GB2312"/>
          <w:sz w:val="32"/>
          <w:szCs w:val="32"/>
        </w:rPr>
        <w:t>。</w:t>
      </w:r>
      <w:r>
        <w:rPr>
          <w:rFonts w:eastAsia="仿宋_GB2312"/>
          <w:sz w:val="32"/>
          <w:szCs w:val="32"/>
        </w:rPr>
        <w:t>衡阳国家高新区成功升格为副厅级。白沙绿岛产业园获省政府批准创建省级高新技术产业开发区，为今年省政府特批唯一一家。中国科学院地理所与我市共建地理环境综合试验站（衡阳站），在全省是第一家。南华大学知识产权和技术转移中心入列湖南省第一批技术转移示范机构。支持上海交大5G新材料研究中心、湖南农大乡村数字研究院、上海应用大学萱草研究院、衡阳智慧水务研究中心等建设新型研发机构，全年新增省级新型研发机构10家；</w:t>
      </w:r>
      <w:r>
        <w:rPr>
          <w:rFonts w:eastAsia="仿宋_GB2312"/>
          <w:b/>
          <w:bCs/>
          <w:sz w:val="32"/>
          <w:szCs w:val="32"/>
        </w:rPr>
        <w:t>三是培育创新主体。</w:t>
      </w:r>
      <w:r>
        <w:rPr>
          <w:rFonts w:eastAsia="仿宋_GB2312"/>
          <w:sz w:val="32"/>
          <w:szCs w:val="32"/>
        </w:rPr>
        <w:t>全年共申报高新技术企业3</w:t>
      </w:r>
      <w:r>
        <w:rPr>
          <w:rFonts w:hint="eastAsia" w:eastAsia="仿宋_GB2312"/>
          <w:sz w:val="32"/>
          <w:szCs w:val="32"/>
        </w:rPr>
        <w:t>7</w:t>
      </w:r>
      <w:r>
        <w:rPr>
          <w:rFonts w:eastAsia="仿宋_GB2312"/>
          <w:sz w:val="32"/>
          <w:szCs w:val="32"/>
        </w:rPr>
        <w:t>7家，同比增长42.3%，创历史新高，有望净增180家，总数突破600家。</w:t>
      </w:r>
      <w:r>
        <w:rPr>
          <w:rFonts w:eastAsia="仿宋_GB2312"/>
          <w:color w:val="000000"/>
          <w:sz w:val="32"/>
          <w:szCs w:val="32"/>
        </w:rPr>
        <w:t>建立高企后备库。目前已入库企业341</w:t>
      </w:r>
      <w:r>
        <w:rPr>
          <w:rFonts w:eastAsia="仿宋_GB2312"/>
          <w:bCs/>
          <w:sz w:val="32"/>
          <w:szCs w:val="32"/>
        </w:rPr>
        <w:t>家，其中，有249家将于今年申报，余下92家提前作好专利、财务等申报准备工作。培育科技型中小企业。全年登记入库726家，同比增长53%，总数居全省第三。</w:t>
      </w:r>
      <w:r>
        <w:rPr>
          <w:rFonts w:eastAsia="仿宋_GB2312"/>
          <w:sz w:val="32"/>
          <w:szCs w:val="32"/>
        </w:rPr>
        <w:t>应用“UP”模式成功引进奥普云洲陈德基团队、飞诺门阵沈寓实团队。2021年“博士行动”累计引进231名博士生，超过前三年总和的两倍；</w:t>
      </w:r>
      <w:r>
        <w:rPr>
          <w:rFonts w:eastAsia="仿宋_GB2312"/>
          <w:b/>
          <w:bCs/>
          <w:sz w:val="32"/>
          <w:szCs w:val="32"/>
        </w:rPr>
        <w:t>四是加大科技投入。</w:t>
      </w:r>
      <w:r>
        <w:rPr>
          <w:rFonts w:eastAsia="仿宋_GB2312"/>
          <w:sz w:val="32"/>
          <w:szCs w:val="32"/>
        </w:rPr>
        <w:t>2020年研发经费投入总量为63.43亿元，同比增长37.41%，增速位列全省第一；研发经费投入强度为1.81%，同比增长32.12％，增速位列全省一类地区第一。2020年全市基础研究投入4.64亿元，占研发经费投入比重达7.31%，在全省一类地区排第一；</w:t>
      </w:r>
      <w:r>
        <w:rPr>
          <w:rFonts w:eastAsia="仿宋_GB2312"/>
          <w:b/>
          <w:bCs/>
          <w:sz w:val="32"/>
          <w:szCs w:val="32"/>
        </w:rPr>
        <w:t>五是加强科技攻关。</w:t>
      </w:r>
      <w:r>
        <w:rPr>
          <w:rFonts w:eastAsia="仿宋_GB2312"/>
          <w:sz w:val="32"/>
          <w:szCs w:val="32"/>
        </w:rPr>
        <w:t>大合新材料的“第三代半导体”项目入选省十大技术攻关项目；向省科技厅推荐重点研发项目19个，高新技术产业创新技术引领计划项目20个，省创新平台与人才项目20个，“揭榜挂帅”项目17个；省市联合基金立项36项，同比增长80%，占全省22.4%，居全省第二。</w:t>
      </w:r>
    </w:p>
    <w:p w14:paraId="2D8AA0C1">
      <w:pPr>
        <w:spacing w:line="570" w:lineRule="exact"/>
        <w:ind w:firstLine="640" w:firstLineChars="200"/>
        <w:rPr>
          <w:rFonts w:eastAsia="微软雅黑"/>
          <w:sz w:val="32"/>
          <w:szCs w:val="32"/>
        </w:rPr>
      </w:pPr>
      <w:r>
        <w:rPr>
          <w:rFonts w:eastAsia="微软雅黑"/>
          <w:sz w:val="32"/>
          <w:szCs w:val="32"/>
        </w:rPr>
        <w:t>三、对绩效评价工作的建议</w:t>
      </w:r>
    </w:p>
    <w:p w14:paraId="3F9CFF85">
      <w:pPr>
        <w:spacing w:line="570" w:lineRule="exact"/>
        <w:ind w:firstLine="640" w:firstLineChars="200"/>
        <w:rPr>
          <w:rFonts w:eastAsia="仿宋"/>
          <w:sz w:val="32"/>
          <w:szCs w:val="32"/>
        </w:rPr>
      </w:pPr>
      <w:r>
        <w:rPr>
          <w:rFonts w:eastAsia="仿宋"/>
          <w:sz w:val="32"/>
          <w:szCs w:val="32"/>
        </w:rPr>
        <w:t>绩效评价时间节点的确定应充分考虑项目性质，至少应在项目实施完成后一个完整年度过后开展，便于数据的收集和对比分析。项目实施过程中也可开展绩效评价，但指标设计上应摒弃那些需要完工后才能显现效益的指标，侧重于对项目的组织管理和资金分配等方面进行评价，以督促项目开展落实。建议通过绩效评价的效果来决定项目是否继续拨付项目资金，使科技专项资金真正发挥应有的效果。</w:t>
      </w:r>
    </w:p>
    <w:p w14:paraId="0077AEB6">
      <w:pPr>
        <w:spacing w:line="570" w:lineRule="exact"/>
        <w:ind w:firstLine="1440" w:firstLineChars="450"/>
        <w:rPr>
          <w:rFonts w:eastAsia="仿宋"/>
          <w:sz w:val="32"/>
          <w:szCs w:val="32"/>
        </w:rPr>
      </w:pPr>
    </w:p>
    <w:p w14:paraId="775D0B98">
      <w:pPr>
        <w:spacing w:line="570" w:lineRule="exact"/>
        <w:ind w:firstLine="1440" w:firstLineChars="450"/>
        <w:jc w:val="right"/>
        <w:rPr>
          <w:rFonts w:eastAsia="仿宋"/>
          <w:sz w:val="32"/>
          <w:szCs w:val="32"/>
        </w:rPr>
      </w:pPr>
      <w:r>
        <w:rPr>
          <w:rFonts w:hint="eastAsia" w:eastAsia="仿宋"/>
          <w:sz w:val="32"/>
          <w:szCs w:val="32"/>
        </w:rPr>
        <w:t>衡阳市科学技术局</w:t>
      </w:r>
    </w:p>
    <w:p w14:paraId="697FC31E">
      <w:pPr>
        <w:adjustRightInd w:val="0"/>
        <w:snapToGrid w:val="0"/>
        <w:spacing w:line="560" w:lineRule="exact"/>
        <w:ind w:firstLine="640" w:firstLineChars="200"/>
        <w:jc w:val="right"/>
        <w:rPr>
          <w:rFonts w:eastAsia="仿宋_GB2312"/>
          <w:sz w:val="32"/>
          <w:szCs w:val="32"/>
        </w:rPr>
      </w:pPr>
      <w:r>
        <w:rPr>
          <w:rFonts w:hint="eastAsia" w:eastAsia="仿宋"/>
          <w:snapToGrid w:val="0"/>
          <w:kern w:val="0"/>
          <w:sz w:val="32"/>
          <w:szCs w:val="32"/>
        </w:rPr>
        <w:t>2022年3月28日</w:t>
      </w:r>
    </w:p>
    <w:sectPr>
      <w:footerReference r:id="rId3" w:type="default"/>
      <w:pgSz w:w="11906" w:h="16838"/>
      <w:pgMar w:top="1985"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BDA573BA">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AF48C">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13</w:t>
    </w:r>
    <w:r>
      <w:rPr>
        <w:rStyle w:val="9"/>
      </w:rPr>
      <w:fldChar w:fldCharType="end"/>
    </w:r>
  </w:p>
  <w:p w14:paraId="0999B55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CF5"/>
    <w:rsid w:val="000274EE"/>
    <w:rsid w:val="000428FD"/>
    <w:rsid w:val="00045DDE"/>
    <w:rsid w:val="00050208"/>
    <w:rsid w:val="0005381D"/>
    <w:rsid w:val="00056494"/>
    <w:rsid w:val="00063CF5"/>
    <w:rsid w:val="0007045A"/>
    <w:rsid w:val="00073E28"/>
    <w:rsid w:val="000A233D"/>
    <w:rsid w:val="000A2393"/>
    <w:rsid w:val="000B0119"/>
    <w:rsid w:val="001052F7"/>
    <w:rsid w:val="001118AC"/>
    <w:rsid w:val="00121DF3"/>
    <w:rsid w:val="00123B90"/>
    <w:rsid w:val="001301ED"/>
    <w:rsid w:val="00154201"/>
    <w:rsid w:val="00154261"/>
    <w:rsid w:val="001624E6"/>
    <w:rsid w:val="00166227"/>
    <w:rsid w:val="0016732B"/>
    <w:rsid w:val="00177480"/>
    <w:rsid w:val="00177CE0"/>
    <w:rsid w:val="00196053"/>
    <w:rsid w:val="00197FE0"/>
    <w:rsid w:val="001A23EC"/>
    <w:rsid w:val="001C1992"/>
    <w:rsid w:val="001C26E4"/>
    <w:rsid w:val="001D1BE9"/>
    <w:rsid w:val="001E0F37"/>
    <w:rsid w:val="001E7BB4"/>
    <w:rsid w:val="00202735"/>
    <w:rsid w:val="0020501C"/>
    <w:rsid w:val="002158A2"/>
    <w:rsid w:val="002275C8"/>
    <w:rsid w:val="002320DC"/>
    <w:rsid w:val="002409FD"/>
    <w:rsid w:val="00242AB0"/>
    <w:rsid w:val="00244BD1"/>
    <w:rsid w:val="00252E0C"/>
    <w:rsid w:val="00286735"/>
    <w:rsid w:val="002934D8"/>
    <w:rsid w:val="002A34F8"/>
    <w:rsid w:val="002C434C"/>
    <w:rsid w:val="002D167B"/>
    <w:rsid w:val="002D4ECB"/>
    <w:rsid w:val="002D54CA"/>
    <w:rsid w:val="002E3475"/>
    <w:rsid w:val="002E5D65"/>
    <w:rsid w:val="002E6AF6"/>
    <w:rsid w:val="002F2B2C"/>
    <w:rsid w:val="002F3688"/>
    <w:rsid w:val="003047E3"/>
    <w:rsid w:val="003134AA"/>
    <w:rsid w:val="00322616"/>
    <w:rsid w:val="0036350A"/>
    <w:rsid w:val="00375A11"/>
    <w:rsid w:val="003A7089"/>
    <w:rsid w:val="003B5D5E"/>
    <w:rsid w:val="003D1843"/>
    <w:rsid w:val="00402F76"/>
    <w:rsid w:val="00405CEA"/>
    <w:rsid w:val="004148EA"/>
    <w:rsid w:val="00416969"/>
    <w:rsid w:val="00416D8A"/>
    <w:rsid w:val="00432301"/>
    <w:rsid w:val="00432666"/>
    <w:rsid w:val="00454373"/>
    <w:rsid w:val="00485064"/>
    <w:rsid w:val="004878F3"/>
    <w:rsid w:val="00490651"/>
    <w:rsid w:val="004942C3"/>
    <w:rsid w:val="004A5926"/>
    <w:rsid w:val="004B53D5"/>
    <w:rsid w:val="004B5711"/>
    <w:rsid w:val="004B64CF"/>
    <w:rsid w:val="004C2297"/>
    <w:rsid w:val="004D1B39"/>
    <w:rsid w:val="005140F4"/>
    <w:rsid w:val="0052120A"/>
    <w:rsid w:val="00525E88"/>
    <w:rsid w:val="00536DB2"/>
    <w:rsid w:val="005374C5"/>
    <w:rsid w:val="005446D3"/>
    <w:rsid w:val="00545DAF"/>
    <w:rsid w:val="00547B77"/>
    <w:rsid w:val="00547D26"/>
    <w:rsid w:val="00560618"/>
    <w:rsid w:val="005613D6"/>
    <w:rsid w:val="00584F04"/>
    <w:rsid w:val="005A439E"/>
    <w:rsid w:val="005B789C"/>
    <w:rsid w:val="005C4111"/>
    <w:rsid w:val="005D7BBE"/>
    <w:rsid w:val="005F01ED"/>
    <w:rsid w:val="005F269D"/>
    <w:rsid w:val="00601944"/>
    <w:rsid w:val="00636A7E"/>
    <w:rsid w:val="00644A4E"/>
    <w:rsid w:val="00651134"/>
    <w:rsid w:val="006610B9"/>
    <w:rsid w:val="006711CE"/>
    <w:rsid w:val="00677DC0"/>
    <w:rsid w:val="00685EC1"/>
    <w:rsid w:val="006866CE"/>
    <w:rsid w:val="006879A6"/>
    <w:rsid w:val="006A49CF"/>
    <w:rsid w:val="006C763D"/>
    <w:rsid w:val="00701CBC"/>
    <w:rsid w:val="00717DB3"/>
    <w:rsid w:val="00730DD0"/>
    <w:rsid w:val="0074143E"/>
    <w:rsid w:val="00745960"/>
    <w:rsid w:val="00753DB6"/>
    <w:rsid w:val="00760ADC"/>
    <w:rsid w:val="00763109"/>
    <w:rsid w:val="00763E02"/>
    <w:rsid w:val="00783033"/>
    <w:rsid w:val="007978F2"/>
    <w:rsid w:val="007C442D"/>
    <w:rsid w:val="007C77FA"/>
    <w:rsid w:val="008105DF"/>
    <w:rsid w:val="00827558"/>
    <w:rsid w:val="00830AC7"/>
    <w:rsid w:val="00831D92"/>
    <w:rsid w:val="00854EB6"/>
    <w:rsid w:val="00866A93"/>
    <w:rsid w:val="008718D8"/>
    <w:rsid w:val="0087322C"/>
    <w:rsid w:val="00873370"/>
    <w:rsid w:val="00880251"/>
    <w:rsid w:val="00880796"/>
    <w:rsid w:val="008A23A4"/>
    <w:rsid w:val="008C693F"/>
    <w:rsid w:val="008D10C0"/>
    <w:rsid w:val="008F643E"/>
    <w:rsid w:val="00904265"/>
    <w:rsid w:val="00912012"/>
    <w:rsid w:val="009167CF"/>
    <w:rsid w:val="00933BE1"/>
    <w:rsid w:val="00943C45"/>
    <w:rsid w:val="00945B05"/>
    <w:rsid w:val="00952A54"/>
    <w:rsid w:val="00974888"/>
    <w:rsid w:val="00974E51"/>
    <w:rsid w:val="009866CD"/>
    <w:rsid w:val="00986FA2"/>
    <w:rsid w:val="009940D0"/>
    <w:rsid w:val="00995EF0"/>
    <w:rsid w:val="009D47B0"/>
    <w:rsid w:val="009D5E36"/>
    <w:rsid w:val="009E268A"/>
    <w:rsid w:val="009E6F05"/>
    <w:rsid w:val="009F53C1"/>
    <w:rsid w:val="00A135F5"/>
    <w:rsid w:val="00A16046"/>
    <w:rsid w:val="00A20944"/>
    <w:rsid w:val="00A26ACF"/>
    <w:rsid w:val="00A50BC1"/>
    <w:rsid w:val="00A51737"/>
    <w:rsid w:val="00A55FAC"/>
    <w:rsid w:val="00A769FB"/>
    <w:rsid w:val="00A806DD"/>
    <w:rsid w:val="00A80C98"/>
    <w:rsid w:val="00A81302"/>
    <w:rsid w:val="00A91261"/>
    <w:rsid w:val="00A945C6"/>
    <w:rsid w:val="00AA60D4"/>
    <w:rsid w:val="00AB19F3"/>
    <w:rsid w:val="00AD5E32"/>
    <w:rsid w:val="00AD673F"/>
    <w:rsid w:val="00AE71D7"/>
    <w:rsid w:val="00AF00AD"/>
    <w:rsid w:val="00AF2E7B"/>
    <w:rsid w:val="00B0382E"/>
    <w:rsid w:val="00B07ABD"/>
    <w:rsid w:val="00B12692"/>
    <w:rsid w:val="00B43A0E"/>
    <w:rsid w:val="00B44BE3"/>
    <w:rsid w:val="00B51AC2"/>
    <w:rsid w:val="00B55EC0"/>
    <w:rsid w:val="00B61973"/>
    <w:rsid w:val="00B67814"/>
    <w:rsid w:val="00B7000A"/>
    <w:rsid w:val="00B72B72"/>
    <w:rsid w:val="00B73209"/>
    <w:rsid w:val="00B84C08"/>
    <w:rsid w:val="00B87886"/>
    <w:rsid w:val="00BA7A98"/>
    <w:rsid w:val="00BD2C25"/>
    <w:rsid w:val="00BE7CFF"/>
    <w:rsid w:val="00BF4092"/>
    <w:rsid w:val="00BF7AEE"/>
    <w:rsid w:val="00C018B3"/>
    <w:rsid w:val="00C057F9"/>
    <w:rsid w:val="00C357F6"/>
    <w:rsid w:val="00C37AD5"/>
    <w:rsid w:val="00C711BA"/>
    <w:rsid w:val="00C75EE0"/>
    <w:rsid w:val="00C82E11"/>
    <w:rsid w:val="00C9146C"/>
    <w:rsid w:val="00C95134"/>
    <w:rsid w:val="00C97E37"/>
    <w:rsid w:val="00CA7665"/>
    <w:rsid w:val="00CE4A0B"/>
    <w:rsid w:val="00CF058D"/>
    <w:rsid w:val="00D12BA3"/>
    <w:rsid w:val="00D20880"/>
    <w:rsid w:val="00D2202F"/>
    <w:rsid w:val="00D32177"/>
    <w:rsid w:val="00D3425D"/>
    <w:rsid w:val="00D56D5A"/>
    <w:rsid w:val="00D60082"/>
    <w:rsid w:val="00D63398"/>
    <w:rsid w:val="00D8453E"/>
    <w:rsid w:val="00D8610D"/>
    <w:rsid w:val="00D91928"/>
    <w:rsid w:val="00DA05CD"/>
    <w:rsid w:val="00DC771C"/>
    <w:rsid w:val="00DE088D"/>
    <w:rsid w:val="00DE6B19"/>
    <w:rsid w:val="00E01757"/>
    <w:rsid w:val="00E23D27"/>
    <w:rsid w:val="00E4149A"/>
    <w:rsid w:val="00E54CC4"/>
    <w:rsid w:val="00E54EC2"/>
    <w:rsid w:val="00E566EA"/>
    <w:rsid w:val="00E7682E"/>
    <w:rsid w:val="00EA3BB4"/>
    <w:rsid w:val="00EA5E0F"/>
    <w:rsid w:val="00EB3BBA"/>
    <w:rsid w:val="00EB4CD3"/>
    <w:rsid w:val="00EE21DE"/>
    <w:rsid w:val="00EE25BA"/>
    <w:rsid w:val="00EE4CED"/>
    <w:rsid w:val="00EE5067"/>
    <w:rsid w:val="00EE554A"/>
    <w:rsid w:val="00EE5741"/>
    <w:rsid w:val="00EF75CD"/>
    <w:rsid w:val="00F00D45"/>
    <w:rsid w:val="00F132E4"/>
    <w:rsid w:val="00F15D10"/>
    <w:rsid w:val="00F16E3C"/>
    <w:rsid w:val="00F24AF3"/>
    <w:rsid w:val="00F3017F"/>
    <w:rsid w:val="00F35F85"/>
    <w:rsid w:val="00F47EAB"/>
    <w:rsid w:val="00F93679"/>
    <w:rsid w:val="00FB3FDC"/>
    <w:rsid w:val="00FB67AF"/>
    <w:rsid w:val="00FB7CDB"/>
    <w:rsid w:val="00FD1BAE"/>
    <w:rsid w:val="242B73DF"/>
    <w:rsid w:val="2CA976B8"/>
    <w:rsid w:val="2E087521"/>
    <w:rsid w:val="300F68BF"/>
    <w:rsid w:val="38BE425C"/>
    <w:rsid w:val="40B5523D"/>
    <w:rsid w:val="651C50F4"/>
    <w:rsid w:val="6840462F"/>
    <w:rsid w:val="68B514C6"/>
    <w:rsid w:val="78093A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2"/>
    <w:semiHidden/>
    <w:qFormat/>
    <w:uiPriority w:val="99"/>
    <w:pPr>
      <w:tabs>
        <w:tab w:val="center" w:pos="4153"/>
        <w:tab w:val="right" w:pos="8306"/>
      </w:tabs>
      <w:snapToGrid w:val="0"/>
      <w:jc w:val="left"/>
    </w:pPr>
    <w:rPr>
      <w:sz w:val="18"/>
      <w:szCs w:val="18"/>
    </w:rPr>
  </w:style>
  <w:style w:type="paragraph" w:styleId="3">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rFonts w:ascii="Calibri" w:hAnsi="Calibri"/>
      <w:kern w:val="0"/>
      <w:sz w:val="24"/>
      <w:szCs w:val="24"/>
    </w:rPr>
  </w:style>
  <w:style w:type="paragraph" w:styleId="5">
    <w:name w:val="Title"/>
    <w:basedOn w:val="1"/>
    <w:next w:val="1"/>
    <w:link w:val="10"/>
    <w:qFormat/>
    <w:uiPriority w:val="99"/>
    <w:pPr>
      <w:spacing w:before="240" w:after="60"/>
      <w:jc w:val="center"/>
      <w:outlineLvl w:val="0"/>
    </w:pPr>
    <w:rPr>
      <w:rFonts w:ascii="Cambria" w:hAnsi="Cambria" w:cs="Cambria"/>
      <w:b/>
      <w:bCs/>
      <w:sz w:val="32"/>
      <w:szCs w:val="32"/>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99"/>
  </w:style>
  <w:style w:type="character" w:customStyle="1" w:styleId="10">
    <w:name w:val="标题 字符"/>
    <w:link w:val="5"/>
    <w:qFormat/>
    <w:locked/>
    <w:uiPriority w:val="99"/>
    <w:rPr>
      <w:rFonts w:ascii="Cambria" w:hAnsi="Cambria" w:eastAsia="宋体" w:cs="Cambria"/>
      <w:b/>
      <w:bCs/>
      <w:sz w:val="32"/>
      <w:szCs w:val="32"/>
    </w:rPr>
  </w:style>
  <w:style w:type="character" w:customStyle="1" w:styleId="11">
    <w:name w:val="页眉 字符"/>
    <w:link w:val="3"/>
    <w:semiHidden/>
    <w:qFormat/>
    <w:locked/>
    <w:uiPriority w:val="99"/>
    <w:rPr>
      <w:rFonts w:ascii="Times New Roman" w:hAnsi="Times New Roman" w:eastAsia="宋体" w:cs="Times New Roman"/>
      <w:sz w:val="18"/>
      <w:szCs w:val="18"/>
    </w:rPr>
  </w:style>
  <w:style w:type="character" w:customStyle="1" w:styleId="12">
    <w:name w:val="页脚 字符"/>
    <w:link w:val="2"/>
    <w:semiHidden/>
    <w:qFormat/>
    <w:locked/>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style>
  <w:style w:type="character" w:customStyle="1" w:styleId="14">
    <w:name w:val="1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AD0CF-3D6F-425A-ABEA-E13CAB8F91B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6983</Words>
  <Characters>7506</Characters>
  <Lines>56</Lines>
  <Paragraphs>15</Paragraphs>
  <TotalTime>1115</TotalTime>
  <ScaleCrop>false</ScaleCrop>
  <LinksUpToDate>false</LinksUpToDate>
  <CharactersWithSpaces>7512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2017-05-17T01:46:00Z</dcterms:created>
  <dc:creator>lenovo</dc:creator>
  <cp:lastModifiedBy>邓婷</cp:lastModifiedBy>
  <cp:lastPrinted>2021-04-22T08:38:00Z</cp:lastPrinted>
  <dcterms:modified xsi:type="dcterms:W3CDTF">2026-01-29T08:44:09Z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eyJoZGlkIjoiZTY2MWM4MWY1Nzc3YTU2NWFiNzU3MWZmM2EwMGNkMjgiLCJ1c2VySWQiOiIxMDY5MjgzMDcxIn0=</vt:lpwstr>
  </property>
  <property fmtid="{D5CDD505-2E9C-101B-9397-08002B2CF9AE}" pid="4" name="ICV">
    <vt:lpwstr>9D54F1C97C104755918BCE3C2053F280_12</vt:lpwstr>
  </property>
</Properties>
</file>