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18C7C">
      <w:pPr>
        <w:jc w:val="center"/>
        <w:rPr>
          <w:rFonts w:ascii="Times New Roman" w:hAnsi="Times New Roman" w:eastAsia="方正小标宋简体"/>
          <w:sz w:val="48"/>
          <w:szCs w:val="48"/>
        </w:rPr>
      </w:pPr>
    </w:p>
    <w:p w14:paraId="118CBBB5">
      <w:pPr>
        <w:jc w:val="center"/>
        <w:rPr>
          <w:rFonts w:ascii="Times New Roman" w:hAnsi="Times New Roman" w:eastAsia="方正小标宋简体"/>
          <w:sz w:val="48"/>
          <w:szCs w:val="48"/>
        </w:rPr>
      </w:pPr>
      <w:r>
        <w:rPr>
          <w:rFonts w:hint="eastAsia" w:ascii="Times New Roman" w:hAnsi="Times New Roman" w:eastAsia="方正小标宋简体" w:cs="Times New Roman"/>
          <w:sz w:val="48"/>
          <w:szCs w:val="48"/>
          <w:lang w:eastAsia="zh-CN"/>
        </w:rPr>
        <w:t>衡阳市国资委</w:t>
      </w:r>
      <w:r>
        <w:rPr>
          <w:rFonts w:hint="eastAsia" w:ascii="Times New Roman" w:hAnsi="Times New Roman" w:eastAsia="方正小标宋简体" w:cs="Times New Roman"/>
          <w:sz w:val="48"/>
          <w:szCs w:val="48"/>
          <w:lang w:val="en-US" w:eastAsia="zh-CN"/>
        </w:rPr>
        <w:t>2021年度</w:t>
      </w:r>
      <w:r>
        <w:rPr>
          <w:rFonts w:ascii="Times New Roman" w:hAnsi="Times New Roman" w:eastAsia="方正小标宋简体" w:cs="Times New Roman"/>
          <w:sz w:val="48"/>
          <w:szCs w:val="48"/>
        </w:rPr>
        <w:t>部门整</w:t>
      </w:r>
      <w:r>
        <w:rPr>
          <w:rFonts w:ascii="Times New Roman" w:hAnsi="Times New Roman" w:eastAsia="方正小标宋简体"/>
          <w:sz w:val="48"/>
          <w:szCs w:val="48"/>
        </w:rPr>
        <w:t>体支出绩效自评报告</w:t>
      </w:r>
      <w:bookmarkStart w:id="0" w:name="_GoBack"/>
      <w:bookmarkEnd w:id="0"/>
    </w:p>
    <w:p w14:paraId="474ED3E5">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2C10217D">
      <w:pPr>
        <w:jc w:val="center"/>
        <w:rPr>
          <w:rFonts w:ascii="Times New Roman" w:hAnsi="Times New Roman" w:eastAsia="黑体"/>
          <w:sz w:val="32"/>
          <w:szCs w:val="32"/>
        </w:rPr>
      </w:pPr>
    </w:p>
    <w:p w14:paraId="386CDE51">
      <w:pPr>
        <w:jc w:val="center"/>
        <w:rPr>
          <w:rFonts w:ascii="Times New Roman" w:hAnsi="Times New Roman" w:eastAsia="黑体"/>
          <w:sz w:val="32"/>
          <w:szCs w:val="32"/>
        </w:rPr>
      </w:pPr>
    </w:p>
    <w:p w14:paraId="55A88149">
      <w:pPr>
        <w:jc w:val="center"/>
        <w:rPr>
          <w:rFonts w:ascii="Times New Roman" w:hAnsi="Times New Roman" w:eastAsia="黑体"/>
          <w:sz w:val="32"/>
          <w:szCs w:val="32"/>
        </w:rPr>
      </w:pPr>
    </w:p>
    <w:p w14:paraId="012124D1">
      <w:pPr>
        <w:jc w:val="center"/>
        <w:rPr>
          <w:rFonts w:ascii="Times New Roman" w:hAnsi="Times New Roman" w:eastAsia="黑体"/>
          <w:sz w:val="32"/>
          <w:szCs w:val="32"/>
        </w:rPr>
      </w:pPr>
    </w:p>
    <w:p w14:paraId="28765E96">
      <w:pPr>
        <w:rPr>
          <w:rFonts w:ascii="Times New Roman" w:hAnsi="Times New Roman" w:eastAsia="黑体"/>
          <w:sz w:val="32"/>
          <w:szCs w:val="32"/>
        </w:rPr>
      </w:pPr>
    </w:p>
    <w:p w14:paraId="5C82D3A0">
      <w:pPr>
        <w:jc w:val="center"/>
        <w:rPr>
          <w:rFonts w:ascii="Times New Roman" w:hAnsi="Times New Roman"/>
          <w:sz w:val="36"/>
          <w:szCs w:val="36"/>
        </w:rPr>
      </w:pPr>
    </w:p>
    <w:p w14:paraId="2C225AF9">
      <w:pPr>
        <w:jc w:val="center"/>
        <w:rPr>
          <w:rFonts w:ascii="Times New Roman" w:hAnsi="Times New Roman"/>
          <w:sz w:val="36"/>
          <w:szCs w:val="36"/>
        </w:rPr>
      </w:pPr>
    </w:p>
    <w:p w14:paraId="7242F74F">
      <w:pPr>
        <w:jc w:val="center"/>
        <w:rPr>
          <w:rFonts w:ascii="Times New Roman" w:hAnsi="Times New Roman"/>
          <w:sz w:val="36"/>
          <w:szCs w:val="36"/>
        </w:rPr>
      </w:pPr>
    </w:p>
    <w:p w14:paraId="5292C72F">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11D3186A">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05AEE57A">
      <w:pPr>
        <w:jc w:val="center"/>
        <w:rPr>
          <w:rFonts w:ascii="Times New Roman" w:hAnsi="Times New Roman" w:eastAsia="黑体"/>
          <w:sz w:val="36"/>
          <w:szCs w:val="36"/>
        </w:rPr>
      </w:pPr>
    </w:p>
    <w:p w14:paraId="1F8C9329">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2022</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3</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27</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日</w:t>
      </w:r>
    </w:p>
    <w:p w14:paraId="670B344E">
      <w:pPr>
        <w:jc w:val="center"/>
        <w:rPr>
          <w:rFonts w:ascii="Times New Roman" w:hAnsi="Times New Roman" w:eastAsia="黑体"/>
          <w:sz w:val="32"/>
          <w:szCs w:val="32"/>
        </w:rPr>
      </w:pPr>
    </w:p>
    <w:p w14:paraId="44950E55">
      <w:pPr>
        <w:spacing w:line="600" w:lineRule="exact"/>
        <w:rPr>
          <w:rFonts w:ascii="Times New Roman" w:hAnsi="Times New Roman" w:eastAsia="方正小标宋简体"/>
          <w:sz w:val="44"/>
          <w:szCs w:val="44"/>
        </w:rPr>
      </w:pPr>
    </w:p>
    <w:p w14:paraId="5CE67BF5">
      <w:pPr>
        <w:pStyle w:val="2"/>
        <w:rPr>
          <w:rFonts w:ascii="Times New Roman" w:hAnsi="Times New Roman" w:eastAsia="方正小标宋简体"/>
          <w:sz w:val="44"/>
          <w:szCs w:val="44"/>
        </w:rPr>
      </w:pPr>
    </w:p>
    <w:p w14:paraId="15651231">
      <w:pPr>
        <w:pStyle w:val="2"/>
        <w:rPr>
          <w:rFonts w:ascii="Times New Roman" w:hAnsi="Times New Roman" w:eastAsia="方正小标宋简体"/>
          <w:sz w:val="44"/>
          <w:szCs w:val="44"/>
        </w:rPr>
      </w:pPr>
    </w:p>
    <w:p w14:paraId="46DF3800">
      <w:pPr>
        <w:pStyle w:val="2"/>
        <w:rPr>
          <w:rFonts w:ascii="Times New Roman" w:hAnsi="Times New Roman" w:eastAsia="方正小标宋简体"/>
          <w:sz w:val="44"/>
          <w:szCs w:val="44"/>
        </w:rPr>
      </w:pPr>
    </w:p>
    <w:p w14:paraId="6FE4B6B6">
      <w:pPr>
        <w:pStyle w:val="2"/>
        <w:rPr>
          <w:rFonts w:ascii="Times New Roman" w:hAnsi="Times New Roman" w:eastAsia="方正小标宋简体"/>
          <w:sz w:val="44"/>
          <w:szCs w:val="44"/>
        </w:rPr>
      </w:pPr>
    </w:p>
    <w:p w14:paraId="5BC09EAE">
      <w:pPr>
        <w:spacing w:line="600" w:lineRule="exact"/>
        <w:jc w:val="both"/>
        <w:rPr>
          <w:rFonts w:ascii="Times New Roman" w:hAnsi="Times New Roman" w:eastAsia="方正小标宋简体"/>
          <w:sz w:val="44"/>
          <w:szCs w:val="44"/>
        </w:rPr>
      </w:pPr>
    </w:p>
    <w:p w14:paraId="70A67487">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73ED811B">
      <w:pPr>
        <w:spacing w:line="600" w:lineRule="exact"/>
        <w:jc w:val="center"/>
        <w:rPr>
          <w:rFonts w:ascii="Times New Roman" w:hAnsi="Times New Roman" w:eastAsia="方正小标宋简体"/>
          <w:sz w:val="44"/>
          <w:szCs w:val="44"/>
        </w:rPr>
      </w:pPr>
    </w:p>
    <w:p w14:paraId="1641B2B6">
      <w:pPr>
        <w:pStyle w:val="18"/>
        <w:widowControl/>
        <w:numPr>
          <w:ilvl w:val="0"/>
          <w:numId w:val="1"/>
        </w:numPr>
        <w:ind w:firstLine="640"/>
        <w:rPr>
          <w:rFonts w:eastAsia="黑体"/>
          <w:sz w:val="32"/>
          <w:szCs w:val="32"/>
        </w:rPr>
      </w:pPr>
      <w:r>
        <w:rPr>
          <w:rFonts w:eastAsia="黑体"/>
          <w:sz w:val="32"/>
          <w:szCs w:val="32"/>
        </w:rPr>
        <w:t>部门、单位基本情况</w:t>
      </w:r>
    </w:p>
    <w:p w14:paraId="416CB2F2">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0"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（一）部门职责</w:t>
      </w:r>
    </w:p>
    <w:p w14:paraId="60F03D5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1.根据市政府授权，依照《中华人民共和国公司法》、《中华人民共和国企业国有资产法》等法律和行政法规履行出资人职责，加强所监管企业国有资产的管理工作。</w:t>
      </w:r>
    </w:p>
    <w:p w14:paraId="5994C07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承担监督所监管企业国有资产保值增值的责任。建立和完善国有资产保值增值指标体系，制定考核标准，通过统计、稽核对所监管企业国有资产的保值增值情况进行监管，负责做好所监管企业工资分配管理工作，拟订所监管企业负责人收入分配政策并组织实施。</w:t>
      </w:r>
    </w:p>
    <w:p w14:paraId="78E47CC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监督管理。</w:t>
      </w:r>
    </w:p>
    <w:p w14:paraId="169721D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4.负责企业国有资产基础管理，拟订国有资产管理的规范性文件，负责所监管企业国有资产处理管理，负责规范和发展国有企业产权交易市场，并进行监督管理；负责参控股企业国有股权的管理。</w:t>
      </w:r>
    </w:p>
    <w:p w14:paraId="7CE5CFC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5.指导推进国有企业改革和重组，推进国有企业的现代企业制度建设，完善公司治理结构，推动国有经济布局和结构的战略性调整；指导所监管企业引进战略投资者与产权(股权)招商引资与资本合作，加强与中央企业、省属企业的对接合作，负责归口组织协调全市与中央企业、省属企业对接合作工作。</w:t>
      </w:r>
    </w:p>
    <w:p w14:paraId="3089FAA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6.通过法定程序对所监管企业的负责人进行任免、考核并根据其经营业绩进行奖惩，建立符合社会主义市场经济体制和现代企业制度要求的选人、用人机制，完善经营者激励和约束制度。</w:t>
      </w:r>
    </w:p>
    <w:p w14:paraId="3B5968B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7.按照有关规定，代表市政府向所监管企业派出监事会和财务总监，负责监事会和财务总监的日常管理工作。</w:t>
      </w:r>
    </w:p>
    <w:p w14:paraId="056C59E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8.指导、监督全市国有企业法律顾问管理工作。</w:t>
      </w:r>
    </w:p>
    <w:p w14:paraId="45A0856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9.对县市区国有资产监督管理工作进行指导和监督。</w:t>
      </w:r>
    </w:p>
    <w:p w14:paraId="2908C15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10.承办市委、市人民政府交办的其他事项。</w:t>
      </w:r>
    </w:p>
    <w:p w14:paraId="71AB289A">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b/>
          <w:bCs/>
          <w:color w:val="auto"/>
          <w:kern w:val="0"/>
          <w:lang w:val="zh-CN" w:eastAsia="zh-CN" w:bidi="zh-CN"/>
        </w:rPr>
      </w:pPr>
      <w:r>
        <w:rPr>
          <w:rFonts w:hint="eastAsia" w:ascii="仿宋" w:hAnsi="仿宋" w:eastAsia="仿宋" w:cs="仿宋"/>
          <w:b/>
          <w:bCs/>
          <w:color w:val="auto"/>
          <w:kern w:val="0"/>
          <w:lang w:val="zh-CN" w:eastAsia="zh-CN" w:bidi="zh-CN"/>
        </w:rPr>
        <w:t>（二）机构设置</w:t>
      </w:r>
    </w:p>
    <w:p w14:paraId="13952F20">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机构情况，2021年本单位内设政策法规科、规划发展和企业改革科、监督科、组织人事科、考核分配科、资本收益与财务管理科、产权管理科、安全维稳科、企业领导人员管理科、机关党委、党建工作科、宣传教育科、办公室13个机构组成。</w:t>
      </w:r>
    </w:p>
    <w:p w14:paraId="225D4D7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2．人员情况。2021年本单位年末实有人数45人，比上年</w:t>
      </w:r>
      <w:r>
        <w:rPr>
          <w:rFonts w:hint="eastAsia" w:ascii="华文仿宋" w:hAnsi="华文仿宋" w:eastAsia="华文仿宋"/>
          <w:sz w:val="32"/>
          <w:szCs w:val="24"/>
          <w:lang w:val="zh-CN" w:eastAsia="zh-CN"/>
        </w:rPr>
        <w:t>变动了</w:t>
      </w:r>
      <w:r>
        <w:rPr>
          <w:rFonts w:hint="eastAsia" w:ascii="华文仿宋" w:hAnsi="华文仿宋" w:eastAsia="华文仿宋"/>
          <w:sz w:val="32"/>
          <w:szCs w:val="24"/>
          <w:lang w:val="en-US" w:eastAsia="zh-CN"/>
        </w:rPr>
        <w:t>7人，退休9人，新增6人。</w:t>
      </w:r>
    </w:p>
    <w:p w14:paraId="335CBCCE">
      <w:pPr>
        <w:pStyle w:val="18"/>
        <w:widowControl/>
        <w:ind w:firstLine="640"/>
        <w:rPr>
          <w:rFonts w:eastAsia="黑体"/>
          <w:sz w:val="32"/>
          <w:szCs w:val="32"/>
        </w:rPr>
      </w:pPr>
      <w:r>
        <w:rPr>
          <w:rFonts w:eastAsia="黑体"/>
          <w:sz w:val="32"/>
          <w:szCs w:val="32"/>
        </w:rPr>
        <w:t>二、一般公共预算支出情况</w:t>
      </w:r>
    </w:p>
    <w:p w14:paraId="522C7A7F">
      <w:pPr>
        <w:pStyle w:val="18"/>
        <w:widowControl/>
        <w:ind w:firstLine="643"/>
        <w:rPr>
          <w:rFonts w:hint="default" w:eastAsia="Times New Roman"/>
          <w:b/>
          <w:sz w:val="32"/>
          <w:szCs w:val="24"/>
          <w:lang w:val="en-US"/>
        </w:rPr>
      </w:pPr>
      <w:r>
        <w:rPr>
          <w:rFonts w:eastAsia="楷体"/>
          <w:b/>
          <w:sz w:val="32"/>
          <w:szCs w:val="32"/>
        </w:rPr>
        <w:t>（一）基本支出情况</w:t>
      </w:r>
    </w:p>
    <w:p w14:paraId="3188F5C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2021年收入实际完成1066.45万元，比上年增加-0.36万元，增长-0.03%。主要原因是：本年度其他收入的减少。其中：一般公共预算财政拨款收入完成1057.59万元，上年结余8.86万元。2021年，本部门支出1066.45万元，比上年增加-35.76万元，增加-3.24%；</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人员经费与公用经费的减少。其中：2021年度财政拨款基本支出918.54万元，其中：人员经费812.31万元，占基本支出的88.44%，主要包括：基本工资、津贴补贴、奖金、机关事业单位基本养老保险缴费、职业年金缴费、职工基本医疗保险缴费、公务员医疗补助缴费、其他社会保障缴费、住房公积金、其他工资福利支出、奖励金、其他对个人和家庭的补助；公用经费105.23万元，占基本支出的11.56%，主要包括：办公费、印刷费、邮电费、维修（护）费、工会经费、公务用车运行维护费、其他交通费用、税金及附加费用。</w:t>
      </w:r>
    </w:p>
    <w:p w14:paraId="22C1C52C">
      <w:pPr>
        <w:spacing w:beforeLines="0" w:afterLines="0" w:line="520" w:lineRule="exact"/>
        <w:ind w:firstLine="640" w:firstLineChars="200"/>
        <w:rPr>
          <w:rFonts w:eastAsia="楷体"/>
          <w:b/>
          <w:sz w:val="32"/>
          <w:szCs w:val="32"/>
        </w:rPr>
      </w:pPr>
      <w:r>
        <w:rPr>
          <w:rFonts w:hint="eastAsia" w:ascii="仿宋" w:hAnsi="仿宋" w:eastAsia="仿宋"/>
          <w:sz w:val="32"/>
          <w:szCs w:val="24"/>
          <w:lang w:val="en-US"/>
        </w:rPr>
        <w:t>202</w:t>
      </w:r>
      <w:r>
        <w:rPr>
          <w:rFonts w:hint="eastAsia" w:ascii="仿宋" w:hAnsi="仿宋" w:eastAsia="仿宋"/>
          <w:sz w:val="32"/>
          <w:szCs w:val="24"/>
          <w:lang w:val="en-US" w:eastAsia="zh-CN"/>
        </w:rPr>
        <w:t>1</w:t>
      </w:r>
      <w:r>
        <w:rPr>
          <w:rFonts w:hint="eastAsia" w:ascii="仿宋" w:hAnsi="仿宋" w:eastAsia="仿宋"/>
          <w:sz w:val="32"/>
          <w:szCs w:val="24"/>
          <w:lang w:val="en-US"/>
        </w:rPr>
        <w:t>年，本单位年末结转和结余资金</w:t>
      </w:r>
      <w:r>
        <w:rPr>
          <w:rFonts w:hint="eastAsia" w:ascii="仿宋" w:hAnsi="仿宋" w:eastAsia="仿宋"/>
          <w:sz w:val="28"/>
          <w:szCs w:val="24"/>
          <w:lang w:val="en-US" w:eastAsia="zh-CN"/>
        </w:rPr>
        <w:t>0</w:t>
      </w:r>
      <w:r>
        <w:rPr>
          <w:rFonts w:hint="eastAsia" w:ascii="仿宋" w:hAnsi="仿宋" w:eastAsia="仿宋"/>
          <w:sz w:val="32"/>
          <w:szCs w:val="24"/>
          <w:lang w:val="en-US"/>
        </w:rPr>
        <w:t>元，比上年</w:t>
      </w:r>
      <w:r>
        <w:rPr>
          <w:rFonts w:hint="eastAsia" w:ascii="仿宋" w:hAnsi="仿宋" w:eastAsia="仿宋"/>
          <w:sz w:val="32"/>
          <w:szCs w:val="24"/>
          <w:lang w:val="en-US" w:eastAsia="zh-CN"/>
        </w:rPr>
        <w:t>减少8.86万</w:t>
      </w:r>
      <w:r>
        <w:rPr>
          <w:rFonts w:hint="eastAsia" w:ascii="仿宋" w:hAnsi="仿宋" w:eastAsia="仿宋"/>
          <w:sz w:val="32"/>
          <w:szCs w:val="24"/>
          <w:lang w:val="en-US"/>
        </w:rPr>
        <w:t>元，</w:t>
      </w:r>
      <w:r>
        <w:rPr>
          <w:rFonts w:hint="eastAsia" w:ascii="仿宋" w:hAnsi="仿宋" w:eastAsia="仿宋"/>
          <w:sz w:val="32"/>
          <w:szCs w:val="24"/>
          <w:lang w:val="en-US" w:eastAsia="zh-CN"/>
        </w:rPr>
        <w:t>减少100</w:t>
      </w:r>
      <w:r>
        <w:rPr>
          <w:rFonts w:hint="eastAsia" w:ascii="仿宋" w:hAnsi="仿宋" w:eastAsia="仿宋"/>
          <w:sz w:val="28"/>
          <w:szCs w:val="24"/>
          <w:lang w:val="en-US"/>
        </w:rPr>
        <w:t>%，增减变化的主要原因是：本年度</w:t>
      </w:r>
      <w:r>
        <w:rPr>
          <w:rFonts w:hint="eastAsia" w:ascii="仿宋" w:hAnsi="仿宋" w:eastAsia="仿宋"/>
          <w:sz w:val="28"/>
          <w:szCs w:val="24"/>
          <w:lang w:val="en-US" w:eastAsia="zh-CN"/>
        </w:rPr>
        <w:t>剩余资金全部收回。</w:t>
      </w:r>
    </w:p>
    <w:p w14:paraId="1987EB37">
      <w:pPr>
        <w:pStyle w:val="18"/>
        <w:widowControl/>
        <w:ind w:firstLine="643"/>
        <w:rPr>
          <w:rFonts w:eastAsia="楷体"/>
          <w:b/>
          <w:sz w:val="32"/>
          <w:szCs w:val="32"/>
        </w:rPr>
      </w:pPr>
      <w:r>
        <w:rPr>
          <w:rFonts w:eastAsia="楷体"/>
          <w:b/>
          <w:sz w:val="32"/>
          <w:szCs w:val="32"/>
        </w:rPr>
        <w:t>（二）项目支出情况</w:t>
      </w:r>
    </w:p>
    <w:p w14:paraId="57687F2B">
      <w:pPr>
        <w:autoSpaceDE w:val="0"/>
        <w:autoSpaceDN w:val="0"/>
        <w:adjustRightInd w:val="0"/>
        <w:spacing w:beforeLines="0" w:afterLines="0" w:line="520" w:lineRule="exact"/>
        <w:ind w:firstLine="640"/>
        <w:rPr>
          <w:rFonts w:hint="default" w:ascii="华文仿宋" w:hAnsi="华文仿宋" w:eastAsia="华文仿宋"/>
          <w:sz w:val="32"/>
          <w:szCs w:val="24"/>
          <w:lang w:val="en-US" w:eastAsia="zh-CN"/>
        </w:rPr>
      </w:pPr>
      <w:r>
        <w:rPr>
          <w:rFonts w:hint="eastAsia" w:ascii="华文仿宋" w:hAnsi="华文仿宋" w:eastAsia="华文仿宋"/>
          <w:sz w:val="32"/>
          <w:szCs w:val="24"/>
          <w:lang w:val="en-US" w:eastAsia="zh-CN"/>
        </w:rPr>
        <w:t>项目支出147.91万元，比上年增长-6.19万元，增长-4.02%；</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本年度项目收入减少。其中：派驻派出机构支出27.6万元；国有资产监管支出80.24万元；维稳和国企改革项目支出40.07万元。</w:t>
      </w:r>
    </w:p>
    <w:p w14:paraId="48D1784B">
      <w:pPr>
        <w:pStyle w:val="18"/>
        <w:widowControl/>
        <w:numPr>
          <w:ilvl w:val="0"/>
          <w:numId w:val="0"/>
        </w:numPr>
        <w:ind w:leftChars="200"/>
        <w:rPr>
          <w:rFonts w:eastAsia="黑体"/>
          <w:sz w:val="32"/>
          <w:szCs w:val="32"/>
        </w:rPr>
      </w:pPr>
      <w:r>
        <w:rPr>
          <w:rFonts w:hint="eastAsia" w:eastAsia="黑体"/>
          <w:sz w:val="32"/>
          <w:szCs w:val="32"/>
          <w:lang w:eastAsia="zh-CN"/>
        </w:rPr>
        <w:t>三、</w:t>
      </w:r>
      <w:r>
        <w:rPr>
          <w:rFonts w:eastAsia="黑体"/>
          <w:sz w:val="32"/>
          <w:szCs w:val="32"/>
        </w:rPr>
        <w:t>政府性基金预算支出情况</w:t>
      </w:r>
    </w:p>
    <w:p w14:paraId="26C4AFA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本单位无政府性基金收支。</w:t>
      </w:r>
    </w:p>
    <w:p w14:paraId="3F8EE206">
      <w:pPr>
        <w:pStyle w:val="18"/>
        <w:widowControl/>
        <w:numPr>
          <w:ilvl w:val="0"/>
          <w:numId w:val="0"/>
        </w:numPr>
        <w:ind w:leftChars="200"/>
        <w:rPr>
          <w:rFonts w:eastAsia="黑体"/>
          <w:sz w:val="32"/>
          <w:szCs w:val="32"/>
        </w:rPr>
      </w:pPr>
      <w:r>
        <w:rPr>
          <w:rFonts w:hint="eastAsia" w:eastAsia="黑体"/>
          <w:sz w:val="32"/>
          <w:szCs w:val="32"/>
          <w:lang w:eastAsia="zh-CN"/>
        </w:rPr>
        <w:t>四、</w:t>
      </w:r>
      <w:r>
        <w:rPr>
          <w:rFonts w:eastAsia="黑体"/>
          <w:sz w:val="32"/>
          <w:szCs w:val="32"/>
        </w:rPr>
        <w:t>国有资本经营预算支出情况</w:t>
      </w:r>
    </w:p>
    <w:p w14:paraId="6B9E68F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本单位无国有资本经营收支。</w:t>
      </w:r>
    </w:p>
    <w:p w14:paraId="400235DD">
      <w:pPr>
        <w:pStyle w:val="18"/>
        <w:widowControl/>
        <w:numPr>
          <w:ilvl w:val="0"/>
          <w:numId w:val="0"/>
        </w:numPr>
        <w:ind w:leftChars="200"/>
        <w:rPr>
          <w:rFonts w:eastAsia="黑体"/>
          <w:sz w:val="32"/>
          <w:szCs w:val="32"/>
        </w:rPr>
      </w:pPr>
      <w:r>
        <w:rPr>
          <w:rFonts w:hint="eastAsia" w:eastAsia="黑体"/>
          <w:sz w:val="32"/>
          <w:szCs w:val="32"/>
          <w:lang w:eastAsia="zh-CN"/>
        </w:rPr>
        <w:t>五、</w:t>
      </w:r>
      <w:r>
        <w:rPr>
          <w:rFonts w:eastAsia="黑体"/>
          <w:sz w:val="32"/>
          <w:szCs w:val="32"/>
        </w:rPr>
        <w:t>社会保险基金预算支出情况</w:t>
      </w:r>
    </w:p>
    <w:p w14:paraId="72EE060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本单位无社会保险基金收支。</w:t>
      </w:r>
    </w:p>
    <w:p w14:paraId="6D7B252D">
      <w:pPr>
        <w:widowControl/>
        <w:numPr>
          <w:ilvl w:val="0"/>
          <w:numId w:val="2"/>
        </w:numPr>
        <w:ind w:firstLine="320" w:firstLineChars="100"/>
        <w:rPr>
          <w:rFonts w:ascii="Times New Roman" w:hAnsi="Times New Roman" w:eastAsia="黑体"/>
          <w:sz w:val="32"/>
          <w:szCs w:val="32"/>
        </w:rPr>
      </w:pPr>
      <w:r>
        <w:rPr>
          <w:rFonts w:ascii="Times New Roman" w:hAnsi="Times New Roman" w:eastAsia="黑体"/>
          <w:sz w:val="32"/>
          <w:szCs w:val="32"/>
        </w:rPr>
        <w:t>部门整体支出绩效情况</w:t>
      </w:r>
    </w:p>
    <w:p w14:paraId="1EF8980F">
      <w:pPr>
        <w:widowControl/>
        <w:numPr>
          <w:ilvl w:val="0"/>
          <w:numId w:val="0"/>
        </w:numPr>
        <w:ind w:firstLine="640" w:firstLineChars="200"/>
        <w:rPr>
          <w:rFonts w:hint="default" w:ascii="华文仿宋" w:hAnsi="华文仿宋" w:eastAsia="华文仿宋"/>
          <w:sz w:val="32"/>
          <w:szCs w:val="24"/>
          <w:lang w:val="en-US" w:eastAsia="zh-CN"/>
        </w:rPr>
      </w:pPr>
      <w:r>
        <w:rPr>
          <w:rFonts w:hint="eastAsia" w:ascii="华文仿宋" w:hAnsi="华文仿宋" w:eastAsia="华文仿宋"/>
          <w:sz w:val="32"/>
          <w:szCs w:val="24"/>
          <w:lang w:val="en-US" w:eastAsia="zh-CN"/>
        </w:rPr>
        <w:t>省委常委、省国资委党委书记姚来英来衡调研国资国企工作时，对我市国资国企工作给予充分肯定和高度评价，他指出，“衡阳国资国企工作走在全省前列，有特色、有成效，发挥了示范引领作用”。2021年7月份全省市州国企改革三年行动推进会在衡阳顺利召开。衡阳市深化老工业基地国资国企改革的经验，被省深改委《改革调研专报》专题刊发，并向中央深改委重点推介。取得了良好的社会效益和经济效益。</w:t>
      </w:r>
      <w:r>
        <w:rPr>
          <w:rFonts w:hint="default" w:ascii="华文仿宋" w:hAnsi="华文仿宋" w:eastAsia="华文仿宋"/>
          <w:sz w:val="32"/>
          <w:szCs w:val="24"/>
          <w:lang w:val="en-US" w:eastAsia="zh-CN"/>
        </w:rPr>
        <w:t>截至2021年底，市国资委主要监管企业预计资产总额2733.81亿元，较上一年度增长6.13%；国有资本权益总额1171.81亿元，同比增长4.66%；负债总额1558.46亿元，同比增长7.01%；资产负债率57.01%，同比增长0.83%。全市监管企业实现营业收入98.51亿元；净利润11.63亿元。</w:t>
      </w:r>
    </w:p>
    <w:p w14:paraId="6861510D">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1.强化党建引领，企业发展质效不断提升。</w:t>
      </w:r>
    </w:p>
    <w:p w14:paraId="056502B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（1）管好用活“学习强国”平台，国资系统党员“学习强国”人均积分始终位居全市前列。</w:t>
      </w:r>
    </w:p>
    <w:p w14:paraId="2DD45FA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国资系统基层党支部“五化”建设全部达标，9个党支部获评“五星级党支部”，81个党支部获评“四星级党支部”，617个党支部获评“三星级党支部”。水务集团获评“全省先进基层党组织”，“如水”党建活动中心、“滴水”党员服务窗口、“源水”党建示范生产线等党建品牌广受好评。</w:t>
      </w:r>
    </w:p>
    <w:p w14:paraId="18287DB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（3）市城建投建立“监督事项一事一档备案”制度，对5次不符合规定的事项提出监督意见并督促整改；市发展投编印《廉政风险排查工作手册》，对1名涉嫌违纪中层干部给予免职处分。</w:t>
      </w:r>
    </w:p>
    <w:p w14:paraId="3802CD4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2.完善监管体制，加快向管资本转变。</w:t>
      </w:r>
    </w:p>
    <w:p w14:paraId="0D778F9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出台了《全面预算管理办法》、《投资监督管理办法》、《规范企业负责人履职待遇、业务支出暂行办法》、《违规经营投资责任追究实施办法》、《中介业务管理办法》等系列管理办法，国资监管制度体系基本形成，有效堵塞监管漏洞和薄弱环节。</w:t>
      </w:r>
    </w:p>
    <w:p w14:paraId="6737344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出台了《市属国有企业选人用人管理办法》和《市国资委监管企业国资代表管理办法》，建立适应现代企业制度要求和市场竞争需要的选人用人机制。市城建投、弘湘公司、高新投中层干部“全体起立”，竞聘上岗。</w:t>
      </w:r>
    </w:p>
    <w:p w14:paraId="3A78B6F1">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全年委托中介机构对监管企业开展决算执行、考核指标完成、薪酬待遇发放等专项审计21次，开展基层党建、安全生产、环保督察2轮次，指导企业向管理要效益，持续强化成本管理，不断提升经营质效。水务集团在中层干部中实行“效能考核、末位淘汰”，严格岗位绩效考核，对排名靠后的中层干部累计诫勉谈话10人、免职1人，解除劳动合同5人</w:t>
      </w:r>
    </w:p>
    <w:p w14:paraId="6EAE45F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3.持续深化改革，激发企业活力动力。</w:t>
      </w:r>
    </w:p>
    <w:p w14:paraId="0D7E224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（1）研究编制了《衡阳市国企改革三年行动实施方案》，方案经市政府常务会、市委深改委会审议通过，由两办正式印发。</w:t>
      </w:r>
    </w:p>
    <w:p w14:paraId="1BF5FDD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（2）指导南岳电控开展员工持股工作，南岳电控公司员工790人受让中信（绵阳）持有的14.42%股权，受让股份8650万股，受让价款6800多万元。</w:t>
      </w:r>
    </w:p>
    <w:p w14:paraId="011A72A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弘湘公司成功获评AA+信用评级和衡阳首家BBB-国际投资级信用评级，实现国内国外双评级提升。城建投盘活土地1046.53亩，高新投盘活土地345.31亩，市水利投与保利集团、扬翔集团，市发展投与上海滨江星、蘑菇车联等企业合作的重点项目取得重大进展。</w:t>
      </w:r>
    </w:p>
    <w:p w14:paraId="1C0CA7F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4.强化底线思维，防范化解重大风险。</w:t>
      </w:r>
    </w:p>
    <w:p w14:paraId="7B7707B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（1）把握疫情宽松政策机遇，积极对接市债管办、各金融机构，一批到期隐性债务成功置换，全年累计化解政府隐性债务45.5亿。</w:t>
      </w:r>
    </w:p>
    <w:p w14:paraId="3C94FD3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（2）弘湘公司全年累计到位政策性银行资金35.53亿元，平均期限达10年，平均利率仅4.65%。高新投、松木投、发展投成功发行首支企业债，企业综合融资成本有效降低。</w:t>
      </w:r>
    </w:p>
    <w:p w14:paraId="4E2F6C9C">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（3）中房集团克服资金压力，在珠晖区“八大市场”中带头行动，完成雁东大厦消防隐患整改任务，彰显国企担当。</w:t>
      </w:r>
    </w:p>
    <w:p w14:paraId="60D0589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（4）经多次协调，彻底解决困扰军地双方近二十年的原54083部队修理所遗留问题，部队一次性支付4800多万元，切实维护了企业职工合法权益。</w:t>
      </w:r>
    </w:p>
    <w:p w14:paraId="2FA1D175">
      <w:pPr>
        <w:widowControl/>
        <w:numPr>
          <w:ilvl w:val="0"/>
          <w:numId w:val="2"/>
        </w:numPr>
        <w:ind w:firstLine="320" w:firstLineChars="1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存在的问题及原因分析</w:t>
      </w:r>
    </w:p>
    <w:p w14:paraId="7FD17FD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 xml:space="preserve">（一）国有资产处置盘活难。我市企业国有资产大多数为土地资产，大部分为不成熟的生地，特别是弘湘公司收储的改制企业土地，租赁户多、职工住户多、企业遗留问题多，处置难度非常大。且现我市的土地市场年供应量基本饱和，平台公司不宜一次性投放过多土地进入市场。种种原因导致平台公司资产种类单一、流动性较差，处置困难。          </w:t>
      </w:r>
    </w:p>
    <w:p w14:paraId="63321D9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二）债务风险防范有压力。目前我市平台公司负债总额已超1400亿，尽管从财务报表上看，资产负债率不高，风险可控，但由于缺少经营性收益和资产处置收益，单靠“借新还旧”，债务规模不断累积，债务风险不断增加。特别是近期银保监会下发的《银行保险机构进一步做好地方政府隐性债务风险防范化解工作的指导意见》，要求金融机构不得向平台公司发放流动贷款，不得为专项债项目配套资金，金融机构收紧对平台公司的融资渠道，多笔在金融机构办理续贷的资金已被叫停，进一步加剧了我市平台公司的债务风险。</w:t>
      </w:r>
    </w:p>
    <w:p w14:paraId="1F52F381">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三）政企分开、政资分开进展缓慢。根据中共中央、国务院《关于深化国有企业改革的指导意见》（中发﹝2015﹞22号）、《中共湖南省委湖南省人民政府关于进一步深化国有企业改革的意见》（湘发﹝2014﹞7号）文件精神，要大力推进政企、政资分开，要求机关事业单位与所属企业脱钩。目前，省级机关事业单位与所属企业已经基本完成脱钩。尽管我市按照相关文件精神，于2016年1月制定《关于市直机关事业单位与所属企业脱钩工作方案》，但由于该项工作需要各部门统一思想，且有的所属企业存续又较长、关系复杂，对原机关事业单位依赖性较大，操作起来难度较大，进展缓慢。</w:t>
      </w:r>
    </w:p>
    <w:p w14:paraId="69D29D9E">
      <w:pPr>
        <w:widowControl/>
        <w:numPr>
          <w:ilvl w:val="0"/>
          <w:numId w:val="3"/>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2F621DE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一是加快优化国有资本布局。通过资产做实、无效资产清理、资产处置、资源调配等方式实现</w:t>
      </w:r>
      <w:r>
        <w:rPr>
          <w:rFonts w:hint="eastAsia" w:ascii="华文仿宋" w:hAnsi="华文仿宋" w:eastAsia="华文仿宋"/>
          <w:sz w:val="32"/>
          <w:szCs w:val="24"/>
          <w:lang w:val="en-US" w:eastAsia="zh-CN"/>
        </w:rPr>
        <w:t>主业归核、资产归集、产业归位。编制发布“十四五”市属国企国资战略发展规划和各市属国企“十四五” 改革发展规划。进一步清理全市可注入企业的资产、资源，加强与市直相关单位的对接沟通，做实做大市属投融资公司资产规模。深化市公交集团经营体制改革。配合做好经营性事业单位改革后半篇文章，实现资产统一归集和与原主管部门彻底脱钩工作。全面完成国企办社会职能分离移交扫尾任务，妥善解决企业改制历史遗留问题。</w:t>
      </w:r>
    </w:p>
    <w:p w14:paraId="068843B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二是全面推进平台公司转型。按照平台公司转型的总体要求，加快推进市属投融资公司转型发展</w:t>
      </w:r>
      <w:r>
        <w:rPr>
          <w:rFonts w:hint="eastAsia" w:ascii="华文仿宋" w:hAnsi="华文仿宋" w:eastAsia="华文仿宋"/>
          <w:sz w:val="32"/>
          <w:szCs w:val="24"/>
          <w:lang w:val="en-US" w:eastAsia="zh-CN"/>
        </w:rPr>
        <w:t>，促进瘦身强体，提升企业市场竞争力和盈利能力。立足市属国企市场化、实体化转型的总体需求，发挥比较竞争优势，通过对自有资产整合、实体实业归类和外来资本战略合作等多种方式，增强市场竞争和盈利能力。立足企业市场化发展的客观需要，加强与央企省企对接，筛选一批优质的对接合作项目，争取央省企全力支持参与衡阳市属国企改革发展。</w:t>
      </w:r>
    </w:p>
    <w:p w14:paraId="21989FAC">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三是向管资本为主转变职能。以国企改革三年行动方案（2020—2022年）为指引，形成更加</w:t>
      </w:r>
      <w:r>
        <w:rPr>
          <w:rFonts w:hint="eastAsia" w:ascii="华文仿宋" w:hAnsi="华文仿宋" w:eastAsia="华文仿宋"/>
          <w:sz w:val="32"/>
          <w:szCs w:val="24"/>
          <w:lang w:val="en-US" w:eastAsia="zh-CN"/>
        </w:rPr>
        <w:t>成熟完善的以管资本为主的国资监管体制。按照管少管好的要求，健全完善市国资委监管事项的正面清单，进一步精简工作流程，并根据相关法律法规和国家政策的调整，实行清单年度动态调整机制，提升工作效率。突出公司章程纲领地位，加强执行检查督查，推进依法治企。充分发挥考核指挥棒作用，按照一企一策原则改进考核评价体系，对不同功能定位、行业领域、发展阶段的企业试行差异化分类考核，强化质量效益。加大对企业干部职工党建、法治、监管业务等方面培训力度，促进企业依法依规依程序办事。加强与纪检监察、审计等部门对接，建立完善出资人监督和纪检监察监督、巡察监督、审计监督、社会监督统筹协调机制，提升监督效能。</w:t>
      </w:r>
    </w:p>
    <w:p w14:paraId="5751F3CF">
      <w:pPr>
        <w:autoSpaceDE w:val="0"/>
        <w:autoSpaceDN w:val="0"/>
        <w:adjustRightInd w:val="0"/>
        <w:spacing w:beforeLines="0" w:afterLines="0" w:line="520" w:lineRule="exact"/>
        <w:ind w:firstLine="640"/>
        <w:rPr>
          <w:rFonts w:hint="eastAsia" w:ascii="华文仿宋" w:hAnsi="华文仿宋" w:eastAsia="华文仿宋" w:cs="Times New Roman"/>
          <w:sz w:val="32"/>
          <w:szCs w:val="24"/>
          <w:lang w:val="en-US" w:eastAsia="zh-CN"/>
        </w:rPr>
      </w:pPr>
      <w:r>
        <w:rPr>
          <w:rFonts w:hint="eastAsia" w:ascii="华文仿宋" w:hAnsi="华文仿宋" w:eastAsia="华文仿宋" w:cs="Times New Roman"/>
          <w:sz w:val="32"/>
          <w:szCs w:val="24"/>
          <w:lang w:val="en-US" w:eastAsia="zh-CN"/>
        </w:rPr>
        <w:t>四是全面加强国企党的建设。</w:t>
      </w:r>
      <w:r>
        <w:rPr>
          <w:rFonts w:hint="eastAsia" w:ascii="华文仿宋" w:hAnsi="华文仿宋" w:eastAsia="华文仿宋"/>
          <w:sz w:val="32"/>
          <w:szCs w:val="24"/>
          <w:lang w:val="en-US" w:eastAsia="zh-CN"/>
        </w:rPr>
        <w:t>坚持党对国有企业的全面领导，完善企业党委把方向、管大局、保落实的有效机制，指导企业制定党委议事规则，加快推进党的领导与公司治理有机统一，确保重大决策部署落实到位。抓好《中国共产党国有企业基层组织工作条例（试行）》的贯彻落实，持续推动全国国企党建工作会30项重点任务在基层落地。落实意识形态工作责任制，守好意识形态阵地，做好舆情应对工作。落实企业党风廉政建设党委主体责任、纪委监督责任，坚持以上率下、一级抓一级，层层制定落实全面从严治党（党建）工作主体责任清单，狠抓问题整改落实，推动全面从严治党一贯</w:t>
      </w:r>
      <w:r>
        <w:rPr>
          <w:rFonts w:hint="eastAsia" w:ascii="华文仿宋" w:hAnsi="华文仿宋" w:eastAsia="华文仿宋" w:cs="Times New Roman"/>
          <w:sz w:val="32"/>
          <w:szCs w:val="24"/>
          <w:lang w:val="en-US" w:eastAsia="zh-CN"/>
        </w:rPr>
        <w:t>到底、落到实处。</w:t>
      </w:r>
    </w:p>
    <w:p w14:paraId="1BB31A0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五是切实维护国资系统稳定。认</w:t>
      </w:r>
      <w:r>
        <w:rPr>
          <w:rFonts w:hint="eastAsia" w:ascii="华文仿宋" w:hAnsi="华文仿宋" w:eastAsia="华文仿宋"/>
          <w:sz w:val="32"/>
          <w:szCs w:val="24"/>
          <w:lang w:val="en-US" w:eastAsia="zh-CN"/>
        </w:rPr>
        <w:t>真把控化债形势和市场化转型发展需要，确保不发生债务违约，不发生区域性金融风险。积极采取切实有效的措施帮助企业渡过难关，切实解决企业发展中的实际困难和问题，以安全生产、信访维稳、平安建设、扫黑除恶、清欠民营企业账款和农民工工资、精准扶贫、改制遗留问题处理等为重点，全力以赴维护国资系统改革发展稳定。</w:t>
      </w:r>
    </w:p>
    <w:p w14:paraId="3414EF75">
      <w:pPr>
        <w:autoSpaceDE w:val="0"/>
        <w:autoSpaceDN w:val="0"/>
        <w:adjustRightInd w:val="0"/>
        <w:spacing w:beforeLines="0" w:afterLines="0" w:line="520" w:lineRule="exact"/>
        <w:ind w:firstLine="640"/>
      </w:pPr>
      <w:r>
        <w:rPr>
          <w:rFonts w:hint="eastAsia" w:ascii="华文仿宋" w:hAnsi="华文仿宋" w:eastAsia="华文仿宋" w:cs="Times New Roman"/>
          <w:sz w:val="32"/>
          <w:szCs w:val="24"/>
          <w:lang w:val="en-US" w:eastAsia="zh-CN"/>
        </w:rPr>
        <w:t>六是努力加强机关自身建设。不断加</w:t>
      </w:r>
      <w:r>
        <w:rPr>
          <w:rFonts w:hint="eastAsia" w:ascii="华文仿宋" w:hAnsi="华文仿宋" w:eastAsia="华文仿宋"/>
          <w:sz w:val="32"/>
          <w:szCs w:val="24"/>
          <w:lang w:val="en-US" w:eastAsia="zh-CN"/>
        </w:rPr>
        <w:t>强委机关自身建设，切实增强执行力，实现机关干部职工担当作为的精神面貌更加向上，服务企业的工作作风更加务实。在成功创建省级文明标兵单位基础上推进全国文明单位创建。抓好机关干部能力素质提升，统筹组织务实管用的专题培训、专业能力培训，使机关干部政治素养、理论水平、专业能力、实践本领跟上时代发展步伐，建设一支高素质、专业化的国资监管队伍。</w:t>
      </w:r>
    </w:p>
    <w:p w14:paraId="0D83BDB7">
      <w:pPr>
        <w:widowControl/>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11508627">
      <w:pPr>
        <w:spacing w:afterLines="100"/>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3F6C71BD">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6"/>
          <w:szCs w:val="36"/>
          <w:lang w:val="en-US" w:eastAsia="zh-CN"/>
        </w:rPr>
        <w:t xml:space="preserve"> </w:t>
      </w:r>
    </w:p>
    <w:p w14:paraId="51D55AA5">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2341AB80">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color w:val="000000"/>
          <w:kern w:val="0"/>
          <w:sz w:val="22"/>
          <w:lang w:eastAsia="zh-CN"/>
        </w:rPr>
        <w:t>衡阳市人民政府国有资产监督管理委员会</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9"/>
        <w:tblW w:w="9464" w:type="dxa"/>
        <w:jc w:val="center"/>
        <w:tblLayout w:type="fixed"/>
        <w:tblCellMar>
          <w:top w:w="0" w:type="dxa"/>
          <w:left w:w="108" w:type="dxa"/>
          <w:bottom w:w="0" w:type="dxa"/>
          <w:right w:w="108" w:type="dxa"/>
        </w:tblCellMar>
      </w:tblPr>
      <w:tblGrid>
        <w:gridCol w:w="3354"/>
        <w:gridCol w:w="2038"/>
        <w:gridCol w:w="2240"/>
        <w:gridCol w:w="1832"/>
      </w:tblGrid>
      <w:tr w14:paraId="4AC91BE3">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8225CAE">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3C2A22A5">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04B22FC8">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3BE49782">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41C02561">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D85B417">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6FB8338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46</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2197CF6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45</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031CF988">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100%</w:t>
            </w:r>
          </w:p>
        </w:tc>
      </w:tr>
      <w:tr w14:paraId="248E311A">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4FAF3F7E">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274F4D04">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09343014">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72FFFCCC">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6637BD84">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2D56F100">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05E5E9B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948.1</w:t>
            </w:r>
          </w:p>
        </w:tc>
        <w:tc>
          <w:tcPr>
            <w:tcW w:w="2240" w:type="dxa"/>
            <w:tcBorders>
              <w:top w:val="single" w:color="auto" w:sz="4" w:space="0"/>
              <w:left w:val="nil"/>
              <w:bottom w:val="single" w:color="auto" w:sz="4" w:space="0"/>
              <w:right w:val="single" w:color="000000" w:sz="4" w:space="0"/>
            </w:tcBorders>
            <w:vAlign w:val="center"/>
          </w:tcPr>
          <w:p w14:paraId="7B760C4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691.31</w:t>
            </w:r>
          </w:p>
        </w:tc>
        <w:tc>
          <w:tcPr>
            <w:tcW w:w="1832" w:type="dxa"/>
            <w:tcBorders>
              <w:top w:val="single" w:color="auto" w:sz="4" w:space="0"/>
              <w:left w:val="nil"/>
              <w:bottom w:val="single" w:color="auto" w:sz="4" w:space="0"/>
              <w:right w:val="single" w:color="000000" w:sz="4" w:space="0"/>
            </w:tcBorders>
            <w:vAlign w:val="center"/>
          </w:tcPr>
          <w:p w14:paraId="3D6018A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918.54</w:t>
            </w:r>
          </w:p>
        </w:tc>
      </w:tr>
      <w:tr w14:paraId="5355FB75">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51D93031">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019361E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867</w:t>
            </w:r>
          </w:p>
        </w:tc>
        <w:tc>
          <w:tcPr>
            <w:tcW w:w="2240" w:type="dxa"/>
            <w:tcBorders>
              <w:top w:val="single" w:color="auto" w:sz="4" w:space="0"/>
              <w:left w:val="nil"/>
              <w:bottom w:val="single" w:color="auto" w:sz="4" w:space="0"/>
              <w:right w:val="single" w:color="000000" w:sz="4" w:space="0"/>
            </w:tcBorders>
            <w:vAlign w:val="center"/>
          </w:tcPr>
          <w:p w14:paraId="2A63B8F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575.31</w:t>
            </w:r>
          </w:p>
        </w:tc>
        <w:tc>
          <w:tcPr>
            <w:tcW w:w="1832" w:type="dxa"/>
            <w:tcBorders>
              <w:top w:val="single" w:color="auto" w:sz="4" w:space="0"/>
              <w:left w:val="nil"/>
              <w:bottom w:val="single" w:color="auto" w:sz="4" w:space="0"/>
              <w:right w:val="single" w:color="000000" w:sz="4" w:space="0"/>
            </w:tcBorders>
            <w:vAlign w:val="center"/>
          </w:tcPr>
          <w:p w14:paraId="4620FFAF">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812.31</w:t>
            </w:r>
          </w:p>
        </w:tc>
      </w:tr>
      <w:tr w14:paraId="4E499DC6">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2CAD0ADC">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2A669B4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81.1</w:t>
            </w:r>
          </w:p>
        </w:tc>
        <w:tc>
          <w:tcPr>
            <w:tcW w:w="2240" w:type="dxa"/>
            <w:tcBorders>
              <w:top w:val="single" w:color="auto" w:sz="4" w:space="0"/>
              <w:left w:val="nil"/>
              <w:bottom w:val="single" w:color="auto" w:sz="4" w:space="0"/>
              <w:right w:val="single" w:color="000000" w:sz="4" w:space="0"/>
            </w:tcBorders>
            <w:vAlign w:val="center"/>
          </w:tcPr>
          <w:p w14:paraId="05C6CB3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116</w:t>
            </w:r>
          </w:p>
        </w:tc>
        <w:tc>
          <w:tcPr>
            <w:tcW w:w="1832" w:type="dxa"/>
            <w:tcBorders>
              <w:top w:val="single" w:color="auto" w:sz="4" w:space="0"/>
              <w:left w:val="nil"/>
              <w:bottom w:val="single" w:color="auto" w:sz="4" w:space="0"/>
              <w:right w:val="single" w:color="000000" w:sz="4" w:space="0"/>
            </w:tcBorders>
            <w:vAlign w:val="center"/>
          </w:tcPr>
          <w:p w14:paraId="343629D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106.23</w:t>
            </w:r>
          </w:p>
        </w:tc>
      </w:tr>
      <w:tr w14:paraId="3BAD3054">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765ADBB3">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56BABCF1">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16A9EBC">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AF0C847">
            <w:pPr>
              <w:widowControl/>
              <w:jc w:val="center"/>
              <w:rPr>
                <w:rFonts w:ascii="Times New Roman" w:hAnsi="Times New Roman" w:eastAsia="Times New Roman"/>
                <w:kern w:val="0"/>
                <w:szCs w:val="21"/>
              </w:rPr>
            </w:pPr>
          </w:p>
        </w:tc>
      </w:tr>
      <w:tr w14:paraId="5E537BD0">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1481FA48">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4BADFD94">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DABCF5B">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BC0BDAE">
            <w:pPr>
              <w:widowControl/>
              <w:jc w:val="center"/>
              <w:rPr>
                <w:rFonts w:ascii="Times New Roman" w:hAnsi="Times New Roman" w:eastAsia="Times New Roman"/>
                <w:kern w:val="0"/>
                <w:szCs w:val="21"/>
              </w:rPr>
            </w:pPr>
          </w:p>
        </w:tc>
      </w:tr>
      <w:tr w14:paraId="4900F663">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3AF3C421">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6DAB1C46">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2EC952B2">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525D4E51">
            <w:pPr>
              <w:widowControl/>
              <w:jc w:val="center"/>
              <w:rPr>
                <w:rFonts w:ascii="Times New Roman" w:hAnsi="Times New Roman" w:eastAsia="Times New Roman"/>
                <w:kern w:val="0"/>
                <w:szCs w:val="21"/>
              </w:rPr>
            </w:pPr>
          </w:p>
        </w:tc>
      </w:tr>
      <w:tr w14:paraId="541CDE66">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DD4C2C1">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19E618A1">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76580DC">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ACA27AB">
            <w:pPr>
              <w:widowControl/>
              <w:jc w:val="center"/>
              <w:rPr>
                <w:rFonts w:ascii="Times New Roman" w:hAnsi="Times New Roman" w:eastAsia="Times New Roman"/>
                <w:kern w:val="0"/>
                <w:szCs w:val="21"/>
              </w:rPr>
            </w:pPr>
            <w:r>
              <w:rPr>
                <w:rFonts w:ascii="Times New Roman" w:hAnsi="Times New Roman"/>
                <w:kern w:val="0"/>
                <w:szCs w:val="21"/>
              </w:rPr>
              <w:t>　</w:t>
            </w:r>
          </w:p>
        </w:tc>
      </w:tr>
      <w:tr w14:paraId="385C4414">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4E6C3496">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1B104AA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3.85</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7FADBED">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A25252E">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3.99</w:t>
            </w:r>
          </w:p>
        </w:tc>
      </w:tr>
      <w:tr w14:paraId="5B3EFB67">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502D47B8">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005C1522">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75D61508">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0248E54A">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1297220F">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20D999BC">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2D9D69C7">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3.85</w:t>
            </w:r>
          </w:p>
        </w:tc>
        <w:tc>
          <w:tcPr>
            <w:tcW w:w="2240" w:type="dxa"/>
            <w:tcBorders>
              <w:top w:val="single" w:color="auto" w:sz="4" w:space="0"/>
              <w:left w:val="nil"/>
              <w:bottom w:val="single" w:color="auto" w:sz="4" w:space="0"/>
              <w:right w:val="single" w:color="000000" w:sz="4" w:space="0"/>
            </w:tcBorders>
            <w:vAlign w:val="center"/>
          </w:tcPr>
          <w:p w14:paraId="2F0FC291">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4</w:t>
            </w:r>
          </w:p>
        </w:tc>
        <w:tc>
          <w:tcPr>
            <w:tcW w:w="1832" w:type="dxa"/>
            <w:tcBorders>
              <w:top w:val="single" w:color="auto" w:sz="4" w:space="0"/>
              <w:left w:val="nil"/>
              <w:bottom w:val="single" w:color="auto" w:sz="4" w:space="0"/>
              <w:right w:val="single" w:color="000000" w:sz="4" w:space="0"/>
            </w:tcBorders>
            <w:vAlign w:val="center"/>
          </w:tcPr>
          <w:p w14:paraId="73FD9CB5">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3.99</w:t>
            </w:r>
          </w:p>
        </w:tc>
      </w:tr>
      <w:tr w14:paraId="6848BD57">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4440B673">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156D373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4E016F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7DB7ABA">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57C5C8D9">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230059AD">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500AB836">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0.36</w:t>
            </w:r>
          </w:p>
        </w:tc>
        <w:tc>
          <w:tcPr>
            <w:tcW w:w="2240" w:type="dxa"/>
            <w:tcBorders>
              <w:top w:val="single" w:color="auto" w:sz="4" w:space="0"/>
              <w:left w:val="nil"/>
              <w:bottom w:val="single" w:color="auto" w:sz="4" w:space="0"/>
              <w:right w:val="single" w:color="000000" w:sz="4" w:space="0"/>
            </w:tcBorders>
            <w:vAlign w:val="center"/>
          </w:tcPr>
          <w:p w14:paraId="7AB006EF">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5</w:t>
            </w:r>
          </w:p>
        </w:tc>
        <w:tc>
          <w:tcPr>
            <w:tcW w:w="1832" w:type="dxa"/>
            <w:tcBorders>
              <w:top w:val="single" w:color="auto" w:sz="4" w:space="0"/>
              <w:left w:val="nil"/>
              <w:bottom w:val="single" w:color="auto" w:sz="4" w:space="0"/>
              <w:right w:val="single" w:color="000000" w:sz="4" w:space="0"/>
            </w:tcBorders>
            <w:vAlign w:val="center"/>
          </w:tcPr>
          <w:p w14:paraId="4807A6BA">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0.74</w:t>
            </w:r>
          </w:p>
        </w:tc>
      </w:tr>
      <w:tr w14:paraId="4EE2B2B0">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32F8483">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16809BE3">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154.09</w:t>
            </w:r>
          </w:p>
        </w:tc>
        <w:tc>
          <w:tcPr>
            <w:tcW w:w="2240" w:type="dxa"/>
            <w:tcBorders>
              <w:top w:val="single" w:color="auto" w:sz="4" w:space="0"/>
              <w:left w:val="nil"/>
              <w:bottom w:val="single" w:color="auto" w:sz="4" w:space="0"/>
              <w:right w:val="single" w:color="000000" w:sz="4" w:space="0"/>
            </w:tcBorders>
            <w:vAlign w:val="center"/>
          </w:tcPr>
          <w:p w14:paraId="7C08D3DA">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147.6</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9C5A00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147.91</w:t>
            </w:r>
            <w:r>
              <w:rPr>
                <w:rFonts w:ascii="Times New Roman" w:hAnsi="Times New Roman"/>
                <w:kern w:val="0"/>
                <w:szCs w:val="21"/>
              </w:rPr>
              <w:t>　</w:t>
            </w:r>
          </w:p>
        </w:tc>
      </w:tr>
      <w:tr w14:paraId="5BAC324F">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9008E70">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国企改革工作经费</w:t>
            </w:r>
          </w:p>
        </w:tc>
        <w:tc>
          <w:tcPr>
            <w:tcW w:w="2038" w:type="dxa"/>
            <w:tcBorders>
              <w:top w:val="single" w:color="auto" w:sz="4" w:space="0"/>
              <w:left w:val="nil"/>
              <w:bottom w:val="single" w:color="auto" w:sz="4" w:space="0"/>
              <w:right w:val="single" w:color="000000" w:sz="4" w:space="0"/>
            </w:tcBorders>
            <w:vAlign w:val="center"/>
          </w:tcPr>
          <w:p w14:paraId="2A0E373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FE0DC5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4836572">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15</w:t>
            </w:r>
          </w:p>
        </w:tc>
      </w:tr>
      <w:tr w14:paraId="15FA3658">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30782EF1">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lang w:val="en-US" w:eastAsia="zh-CN"/>
              </w:rPr>
              <w:t>2</w:t>
            </w:r>
            <w:r>
              <w:rPr>
                <w:rFonts w:ascii="Times New Roman" w:hAnsi="Times New Roman"/>
                <w:kern w:val="0"/>
                <w:szCs w:val="21"/>
              </w:rPr>
              <w:t>、</w:t>
            </w:r>
            <w:r>
              <w:rPr>
                <w:rFonts w:hint="eastAsia" w:ascii="Times New Roman" w:hAnsi="Times New Roman"/>
                <w:kern w:val="0"/>
                <w:szCs w:val="21"/>
              </w:rPr>
              <w:t>驻市国资委纪检组专项经费</w:t>
            </w:r>
          </w:p>
        </w:tc>
        <w:tc>
          <w:tcPr>
            <w:tcW w:w="2038" w:type="dxa"/>
            <w:tcBorders>
              <w:top w:val="single" w:color="auto" w:sz="4" w:space="0"/>
              <w:left w:val="nil"/>
              <w:bottom w:val="single" w:color="auto" w:sz="4" w:space="0"/>
              <w:right w:val="single" w:color="000000" w:sz="4" w:space="0"/>
            </w:tcBorders>
            <w:vAlign w:val="center"/>
          </w:tcPr>
          <w:p w14:paraId="061D3B4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c>
          <w:tcPr>
            <w:tcW w:w="2240" w:type="dxa"/>
            <w:tcBorders>
              <w:top w:val="single" w:color="auto" w:sz="4" w:space="0"/>
              <w:left w:val="nil"/>
              <w:bottom w:val="single" w:color="auto" w:sz="4" w:space="0"/>
              <w:right w:val="single" w:color="000000" w:sz="4" w:space="0"/>
            </w:tcBorders>
            <w:vAlign w:val="center"/>
          </w:tcPr>
          <w:p w14:paraId="3746D29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c>
          <w:tcPr>
            <w:tcW w:w="1832" w:type="dxa"/>
            <w:tcBorders>
              <w:top w:val="single" w:color="auto" w:sz="4" w:space="0"/>
              <w:left w:val="nil"/>
              <w:bottom w:val="single" w:color="auto" w:sz="4" w:space="0"/>
              <w:right w:val="single" w:color="000000" w:sz="4" w:space="0"/>
            </w:tcBorders>
            <w:vAlign w:val="center"/>
          </w:tcPr>
          <w:p w14:paraId="67270C4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r>
      <w:tr w14:paraId="03BB69D6">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34A5C83">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3</w:t>
            </w:r>
            <w:r>
              <w:rPr>
                <w:rFonts w:ascii="Times New Roman" w:hAnsi="Times New Roman"/>
                <w:kern w:val="0"/>
                <w:szCs w:val="21"/>
              </w:rPr>
              <w:t>、</w:t>
            </w:r>
            <w:r>
              <w:rPr>
                <w:rFonts w:hint="eastAsia" w:ascii="Times New Roman" w:hAnsi="Times New Roman"/>
                <w:kern w:val="0"/>
                <w:szCs w:val="21"/>
                <w:lang w:val="en-US" w:eastAsia="zh-CN"/>
              </w:rPr>
              <w:t>维稳专项工作经费</w:t>
            </w:r>
          </w:p>
        </w:tc>
        <w:tc>
          <w:tcPr>
            <w:tcW w:w="2038" w:type="dxa"/>
            <w:tcBorders>
              <w:top w:val="single" w:color="auto" w:sz="4" w:space="0"/>
              <w:left w:val="nil"/>
              <w:bottom w:val="single" w:color="auto" w:sz="4" w:space="0"/>
              <w:right w:val="single" w:color="000000" w:sz="4" w:space="0"/>
            </w:tcBorders>
            <w:vAlign w:val="center"/>
          </w:tcPr>
          <w:p w14:paraId="325F742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1117A63">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w:t>
            </w:r>
          </w:p>
        </w:tc>
        <w:tc>
          <w:tcPr>
            <w:tcW w:w="1832" w:type="dxa"/>
            <w:tcBorders>
              <w:top w:val="single" w:color="auto" w:sz="4" w:space="0"/>
              <w:left w:val="nil"/>
              <w:bottom w:val="single" w:color="auto" w:sz="4" w:space="0"/>
              <w:right w:val="single" w:color="000000" w:sz="4" w:space="0"/>
            </w:tcBorders>
            <w:vAlign w:val="center"/>
          </w:tcPr>
          <w:p w14:paraId="0D246614">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w:t>
            </w:r>
          </w:p>
        </w:tc>
      </w:tr>
      <w:tr w14:paraId="5306E4D6">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1400BEB8">
            <w:pPr>
              <w:widowControl/>
              <w:jc w:val="both"/>
              <w:rPr>
                <w:rFonts w:ascii="Times New Roman" w:hAnsi="Times New Roman" w:eastAsia="Times New Roman"/>
                <w:kern w:val="0"/>
                <w:szCs w:val="21"/>
              </w:rPr>
            </w:pPr>
            <w:r>
              <w:rPr>
                <w:rFonts w:hint="eastAsia" w:ascii="Times New Roman" w:hAnsi="Times New Roman"/>
                <w:kern w:val="0"/>
                <w:szCs w:val="21"/>
                <w:lang w:val="en-US" w:eastAsia="zh-CN"/>
              </w:rPr>
              <w:t>4、</w:t>
            </w:r>
            <w:r>
              <w:rPr>
                <w:rFonts w:hint="eastAsia" w:ascii="Times New Roman" w:hAnsi="Times New Roman"/>
                <w:kern w:val="0"/>
                <w:szCs w:val="21"/>
              </w:rPr>
              <w:t>国有资产监管经费</w:t>
            </w:r>
          </w:p>
        </w:tc>
        <w:tc>
          <w:tcPr>
            <w:tcW w:w="2038" w:type="dxa"/>
            <w:tcBorders>
              <w:top w:val="single" w:color="auto" w:sz="4" w:space="0"/>
              <w:left w:val="nil"/>
              <w:bottom w:val="single" w:color="auto" w:sz="4" w:space="0"/>
              <w:right w:val="single" w:color="000000" w:sz="4" w:space="0"/>
            </w:tcBorders>
            <w:vAlign w:val="center"/>
          </w:tcPr>
          <w:p w14:paraId="705363E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101.49</w:t>
            </w:r>
          </w:p>
        </w:tc>
        <w:tc>
          <w:tcPr>
            <w:tcW w:w="2240" w:type="dxa"/>
            <w:tcBorders>
              <w:top w:val="single" w:color="auto" w:sz="4" w:space="0"/>
              <w:left w:val="nil"/>
              <w:bottom w:val="single" w:color="auto" w:sz="4" w:space="0"/>
              <w:right w:val="single" w:color="000000" w:sz="4" w:space="0"/>
            </w:tcBorders>
            <w:vAlign w:val="center"/>
          </w:tcPr>
          <w:p w14:paraId="414A576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95</w:t>
            </w:r>
          </w:p>
        </w:tc>
        <w:tc>
          <w:tcPr>
            <w:tcW w:w="1832" w:type="dxa"/>
            <w:tcBorders>
              <w:top w:val="single" w:color="auto" w:sz="4" w:space="0"/>
              <w:left w:val="nil"/>
              <w:bottom w:val="single" w:color="auto" w:sz="4" w:space="0"/>
              <w:right w:val="single" w:color="000000" w:sz="4" w:space="0"/>
            </w:tcBorders>
            <w:vAlign w:val="center"/>
          </w:tcPr>
          <w:p w14:paraId="4C89BB9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95.31</w:t>
            </w:r>
          </w:p>
        </w:tc>
      </w:tr>
      <w:tr w14:paraId="0FD5A3F5">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6F058CB2">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52843A90">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6FCE02AC">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4F923DCB">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6E8F6FAA">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167D4D80">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4004566C">
            <w:pPr>
              <w:widowControl/>
              <w:jc w:val="center"/>
              <w:rPr>
                <w:rFonts w:ascii="Times New Roman" w:hAnsi="Times New Roman" w:eastAsia="Times New Roman"/>
                <w:kern w:val="0"/>
                <w:szCs w:val="21"/>
              </w:rPr>
            </w:pPr>
            <w:r>
              <w:rPr>
                <w:rFonts w:hint="eastAsia" w:ascii="Times New Roman" w:hAnsi="Times New Roman"/>
                <w:kern w:val="0"/>
                <w:szCs w:val="21"/>
                <w:lang w:eastAsia="zh-CN"/>
              </w:rPr>
              <w:t>严格控制三公经费开支，杜绝铺张浪费。</w:t>
            </w:r>
            <w:r>
              <w:rPr>
                <w:rFonts w:ascii="Times New Roman" w:hAnsi="Times New Roman"/>
                <w:kern w:val="0"/>
                <w:szCs w:val="21"/>
              </w:rPr>
              <w:t>　</w:t>
            </w:r>
          </w:p>
        </w:tc>
      </w:tr>
    </w:tbl>
    <w:p w14:paraId="3146E735">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79C4BB25">
      <w:pPr>
        <w:rPr>
          <w:rFonts w:ascii="Times New Roman" w:hAnsi="Times New Roman"/>
          <w:kern w:val="0"/>
          <w:sz w:val="22"/>
        </w:rPr>
      </w:pPr>
    </w:p>
    <w:p w14:paraId="07DF3529">
      <w:pPr>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 xml:space="preserve"> 单位负责人签字：</w:t>
      </w:r>
    </w:p>
    <w:p w14:paraId="0ADA75BA">
      <w:pPr>
        <w:rPr>
          <w:rFonts w:ascii="Times New Roman" w:hAnsi="Times New Roman"/>
          <w:kern w:val="0"/>
          <w:sz w:val="22"/>
        </w:rPr>
      </w:pPr>
    </w:p>
    <w:p w14:paraId="0DCB3701">
      <w:pPr>
        <w:rPr>
          <w:rFonts w:ascii="Times New Roman" w:hAnsi="Times New Roman" w:eastAsia="黑体"/>
        </w:rPr>
      </w:pPr>
      <w:r>
        <w:rPr>
          <w:rFonts w:ascii="Times New Roman" w:hAnsi="Times New Roman" w:eastAsia="黑体"/>
          <w:sz w:val="32"/>
          <w:szCs w:val="32"/>
        </w:rPr>
        <w:t>附件3</w:t>
      </w:r>
    </w:p>
    <w:tbl>
      <w:tblPr>
        <w:tblStyle w:val="9"/>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26801902">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28E38042">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1FEB729D">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725B048D">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 xml:space="preserve">填报单位： </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（2021年度）</w:t>
            </w:r>
          </w:p>
        </w:tc>
      </w:tr>
      <w:tr w14:paraId="01AE0E78">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518338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A18563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衡阳市人民政府国有资产监督管理委员会</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3609DF9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960" w:type="dxa"/>
            <w:tcBorders>
              <w:top w:val="single" w:color="auto" w:sz="4" w:space="0"/>
              <w:left w:val="nil"/>
              <w:bottom w:val="single" w:color="auto" w:sz="4" w:space="0"/>
              <w:right w:val="single" w:color="000000" w:sz="4" w:space="0"/>
            </w:tcBorders>
            <w:shd w:val="clear" w:color="auto" w:fill="auto"/>
            <w:noWrap/>
            <w:vAlign w:val="top"/>
          </w:tcPr>
          <w:p w14:paraId="0CED331E">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029E453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C02DD4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24E90EEC">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774E063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73E183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91822DB">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宋体" w:hAnsi="宋体" w:cs="宋体"/>
                <w:kern w:val="0"/>
                <w:sz w:val="20"/>
                <w:szCs w:val="20"/>
                <w:lang w:val="en-US" w:eastAsia="zh-CN"/>
              </w:rPr>
              <w:t>838.91</w:t>
            </w:r>
            <w:r>
              <w:rPr>
                <w:rFonts w:hint="eastAsia" w:ascii="宋体" w:hAnsi="宋体" w:cs="宋体"/>
                <w:kern w:val="0"/>
                <w:sz w:val="20"/>
                <w:szCs w:val="20"/>
              </w:rPr>
              <w:t>万元</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0CC2BD74">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1066.45</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16C20538">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127%</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594F1199">
            <w:pPr>
              <w:widowControl/>
              <w:ind w:firstLine="420" w:firstLineChars="2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6EC5916B">
            <w:pPr>
              <w:widowControl/>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r>
      <w:tr w14:paraId="0E0225DB">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61F9DD82">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DA55A32">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5FAFE73">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按支出性质分：</w:t>
            </w:r>
          </w:p>
        </w:tc>
      </w:tr>
      <w:tr w14:paraId="7A15783D">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01F0CE1E">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B2ECDD0">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838.91</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4114D7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w:t>
            </w:r>
            <w:r>
              <w:rPr>
                <w:rFonts w:hint="eastAsia" w:ascii="宋体" w:hAnsi="宋体" w:cs="宋体"/>
                <w:kern w:val="0"/>
                <w:sz w:val="20"/>
                <w:szCs w:val="20"/>
                <w:lang w:val="en-US" w:eastAsia="zh-CN"/>
              </w:rPr>
              <w:t>691.31</w:t>
            </w:r>
          </w:p>
        </w:tc>
      </w:tr>
      <w:tr w14:paraId="3397015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0CF0CC39">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72524EE">
            <w:pPr>
              <w:widowControl/>
              <w:ind w:firstLine="840" w:firstLineChars="400"/>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D516AFD">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w:t>
            </w:r>
            <w:r>
              <w:rPr>
                <w:rFonts w:hint="eastAsia" w:ascii="宋体" w:hAnsi="宋体" w:cs="宋体"/>
                <w:kern w:val="0"/>
                <w:sz w:val="20"/>
                <w:szCs w:val="20"/>
                <w:lang w:val="en-US" w:eastAsia="zh-CN"/>
              </w:rPr>
              <w:t>147.6</w:t>
            </w:r>
          </w:p>
        </w:tc>
      </w:tr>
      <w:tr w14:paraId="008E40CB">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46B64CB">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08A1C8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AE90E84">
            <w:pPr>
              <w:widowControl/>
              <w:jc w:val="left"/>
              <w:rPr>
                <w:rFonts w:ascii="Times New Roman" w:hAnsi="Times New Roman" w:eastAsia="仿宋_GB2312"/>
                <w:color w:val="000000"/>
                <w:kern w:val="0"/>
                <w:szCs w:val="21"/>
              </w:rPr>
            </w:pPr>
          </w:p>
        </w:tc>
      </w:tr>
      <w:tr w14:paraId="19D19679">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45BD8C8C">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003F88B">
            <w:pPr>
              <w:widowControl/>
              <w:ind w:firstLine="1680" w:firstLineChars="8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024F425C">
            <w:pPr>
              <w:widowControl/>
              <w:ind w:firstLine="1680" w:firstLineChars="800"/>
              <w:jc w:val="left"/>
              <w:rPr>
                <w:rFonts w:ascii="Times New Roman" w:hAnsi="Times New Roman" w:eastAsia="仿宋_GB2312"/>
                <w:color w:val="000000"/>
                <w:kern w:val="0"/>
                <w:szCs w:val="21"/>
              </w:rPr>
            </w:pPr>
          </w:p>
        </w:tc>
      </w:tr>
      <w:tr w14:paraId="553339D6">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19F931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6740D851">
            <w:pPr>
              <w:widowControl/>
              <w:jc w:val="left"/>
              <w:rPr>
                <w:rFonts w:ascii="Times New Roman" w:hAnsi="Times New Roman" w:eastAsia="仿宋_GB2312"/>
                <w:color w:val="000000"/>
                <w:kern w:val="0"/>
                <w:szCs w:val="21"/>
              </w:rPr>
            </w:pPr>
            <w:r>
              <w:rPr>
                <w:rFonts w:hint="eastAsia" w:ascii="宋体" w:hAnsi="宋体" w:cs="宋体"/>
                <w:kern w:val="0"/>
                <w:sz w:val="18"/>
                <w:szCs w:val="18"/>
              </w:rPr>
              <w:t>市国资委根据市政府授权，依照《国资法》、</w:t>
            </w:r>
            <w:r>
              <w:rPr>
                <w:rFonts w:hint="eastAsia" w:ascii="宋体" w:hAnsi="宋体" w:cs="宋体"/>
                <w:kern w:val="0"/>
                <w:sz w:val="18"/>
                <w:szCs w:val="18"/>
                <w:lang w:eastAsia="zh-CN"/>
              </w:rPr>
              <w:t>《中华人民共和国公司法》</w:t>
            </w:r>
            <w:r>
              <w:rPr>
                <w:rFonts w:hint="eastAsia" w:ascii="宋体" w:hAnsi="宋体" w:cs="宋体"/>
                <w:kern w:val="0"/>
                <w:sz w:val="18"/>
                <w:szCs w:val="18"/>
              </w:rPr>
              <w:t>等法律法规代表市政府对监管企业履行出资人职责；承担指导推进国有企业改革和重组；对所监管企业国有资产的保值增值进行监督，加强国有资产的管理工作；推进国有企业的现代企业制度建设，完善公司治理结构；推动国有经济结构和布局的战略性调整等工作。</w:t>
            </w:r>
          </w:p>
        </w:tc>
      </w:tr>
      <w:tr w14:paraId="239A974D">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62FABB8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2AF045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3F72CC40">
            <w:pPr>
              <w:widowControl/>
              <w:jc w:val="left"/>
              <w:rPr>
                <w:rFonts w:ascii="Times New Roman" w:hAnsi="Times New Roman" w:eastAsia="仿宋_GB2312"/>
                <w:color w:val="000000"/>
                <w:kern w:val="0"/>
                <w:szCs w:val="21"/>
              </w:rPr>
            </w:pPr>
            <w:r>
              <w:rPr>
                <w:rFonts w:hint="eastAsia" w:ascii="宋体" w:hAnsi="宋体" w:cs="宋体"/>
                <w:kern w:val="0"/>
                <w:sz w:val="18"/>
                <w:szCs w:val="18"/>
                <w:lang w:eastAsia="zh-CN"/>
              </w:rPr>
              <w:t>1</w:t>
            </w:r>
            <w:r>
              <w:rPr>
                <w:rFonts w:hint="eastAsia" w:ascii="宋体" w:hAnsi="宋体" w:cs="宋体"/>
                <w:kern w:val="0"/>
                <w:sz w:val="18"/>
                <w:szCs w:val="18"/>
                <w:lang w:val="en-US" w:eastAsia="zh-CN"/>
              </w:rPr>
              <w:t>.</w:t>
            </w:r>
            <w:r>
              <w:rPr>
                <w:rFonts w:hint="eastAsia" w:ascii="宋体" w:hAnsi="宋体" w:cs="宋体"/>
                <w:kern w:val="0"/>
                <w:sz w:val="18"/>
                <w:szCs w:val="18"/>
                <w:lang w:eastAsia="zh-CN"/>
              </w:rPr>
              <w:t>着力优化国资监管体制机制，全面加强国资监管，不断提升国资监管水平；2：采取措施，做大做强监管企业，提升市属国企竞争力影响力；3：有序推进国资国企党建工作，扎实做好国资系统基层党建重点工作。</w:t>
            </w:r>
          </w:p>
        </w:tc>
      </w:tr>
      <w:tr w14:paraId="11AF889F">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5F4FAE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65200D9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8BE01E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52306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AB90C4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CD94F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A96DF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35110F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E7215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085C02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F8F4D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A2311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13E497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3BC2EC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0736068">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1815D2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8B831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4EBB95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78BD5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BDB35FF">
            <w:pPr>
              <w:widowControl/>
              <w:jc w:val="left"/>
              <w:rPr>
                <w:rFonts w:ascii="Times New Roman" w:hAnsi="Times New Roman" w:eastAsia="仿宋_GB2312"/>
                <w:color w:val="000000"/>
                <w:kern w:val="0"/>
                <w:sz w:val="15"/>
                <w:szCs w:val="15"/>
              </w:rPr>
            </w:pPr>
            <w:r>
              <w:rPr>
                <w:rFonts w:hint="eastAsia" w:ascii="宋体" w:hAnsi="宋体" w:cs="宋体"/>
                <w:kern w:val="0"/>
                <w:sz w:val="15"/>
                <w:szCs w:val="15"/>
                <w:lang w:eastAsia="zh-CN"/>
              </w:rPr>
              <w:t>国资国企“十四五”规划编制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10E87AD">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ascii="宋体" w:hAnsi="宋体" w:cs="宋体"/>
                <w:kern w:val="0"/>
                <w:sz w:val="15"/>
                <w:szCs w:val="15"/>
                <w:lang w:eastAsia="zh-CN"/>
              </w:rPr>
              <w:t>启动我市国资国企“十四五”规划编制工作，推动国资国企“十四五”规划纳入全市专项规划。</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D3581C0">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已启动</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3E3ED3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79BB64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9F348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推动国资国企“十四五”规划纳入全市专项规划。</w:t>
            </w:r>
          </w:p>
        </w:tc>
      </w:tr>
      <w:tr w14:paraId="1A5F6AC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F017F4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9623F97">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4D017FF8">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A58927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87BE954">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37976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E634A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18F40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9318A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83137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480010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0ED3939">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2F04B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C85C066">
            <w:pPr>
              <w:widowControl/>
              <w:jc w:val="left"/>
              <w:rPr>
                <w:rFonts w:ascii="Times New Roman" w:hAnsi="Times New Roman" w:eastAsia="仿宋_GB2312"/>
                <w:color w:val="000000"/>
                <w:kern w:val="0"/>
                <w:sz w:val="15"/>
                <w:szCs w:val="15"/>
              </w:rPr>
            </w:pPr>
            <w:r>
              <w:rPr>
                <w:rFonts w:hint="eastAsia" w:ascii="宋体" w:hAnsi="宋体" w:cs="宋体"/>
                <w:kern w:val="0"/>
                <w:sz w:val="15"/>
                <w:szCs w:val="15"/>
                <w:lang w:eastAsia="zh-CN"/>
              </w:rPr>
              <w:t>进一步提升国资监管效能</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E458D4C">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ascii="宋体" w:hAnsi="宋体" w:cs="宋体"/>
                <w:kern w:val="0"/>
                <w:sz w:val="15"/>
                <w:szCs w:val="15"/>
                <w:lang w:eastAsia="zh-CN"/>
              </w:rPr>
              <w:t>坚持以管资本为主，重点管好国有资本布局、规范资本运作提高资本回报、维护资本安全，突出问题导向，把住核心关口，改进监督方式，确保全市国有资产保值增值。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A44E891">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r>
              <w:rPr>
                <w:rFonts w:hint="eastAsia" w:ascii="宋体" w:hAnsi="宋体" w:cs="宋体"/>
                <w:kern w:val="0"/>
                <w:sz w:val="15"/>
                <w:szCs w:val="15"/>
                <w:lang w:val="en-US" w:eastAsia="zh-CN"/>
              </w:rPr>
              <w:t>衡阳国资国企工作走在全省前列，有特色、有成效，发挥了示范引领作用</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020D28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AB9AA3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56FDA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7C13D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6A9D7B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9DFBC1A">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33203E11">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9F6FD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964A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B061D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A09E9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57EDB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9C72E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7B09C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D89A275">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30DC2BE">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0944F8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809C633">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执行时限</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C9551D4">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r>
              <w:rPr>
                <w:rFonts w:hint="eastAsia" w:ascii="宋体" w:hAnsi="宋体" w:cs="宋体"/>
                <w:kern w:val="0"/>
                <w:sz w:val="15"/>
                <w:szCs w:val="15"/>
                <w:lang w:val="en-US" w:eastAsia="zh-CN"/>
              </w:rPr>
              <w:t>2021年12月底前完成。</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5A29D22">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已完成</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3BD84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C277F3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B22E1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F8389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EA24B4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8B4B31C">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1780383">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9B5FE43">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EF2976D">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D3B0042">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9CC8D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C963F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451BF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0B1AF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BCFE059">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6D2A1F1">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253CA4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A664A1B">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成本控制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0C07A3C">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全年基本支出（包括人员经费、日常公用经费）</w:t>
            </w:r>
            <w:r>
              <w:rPr>
                <w:rFonts w:hint="eastAsia" w:ascii="宋体" w:hAnsi="宋体" w:cs="宋体"/>
                <w:kern w:val="0"/>
                <w:sz w:val="15"/>
                <w:szCs w:val="15"/>
                <w:lang w:val="en-US" w:eastAsia="zh-CN"/>
              </w:rPr>
              <w:t>691.31万元，项目支出（包括四个项目）147.6万元。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15C5D22">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基本控制</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D07D68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BDA099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8103FFE">
            <w:pPr>
              <w:widowControl/>
              <w:jc w:val="left"/>
              <w:rPr>
                <w:rFonts w:hint="eastAsia" w:ascii="Times New Roman" w:hAnsi="Times New Roman" w:eastAsia="仿宋_GB2312"/>
                <w:color w:val="000000"/>
                <w:kern w:val="0"/>
                <w:szCs w:val="21"/>
                <w:lang w:eastAsia="zh-CN"/>
              </w:rPr>
            </w:pPr>
            <w:r>
              <w:rPr>
                <w:rFonts w:hint="eastAsia" w:ascii="宋体" w:hAnsi="宋体" w:cs="宋体"/>
                <w:kern w:val="0"/>
                <w:sz w:val="15"/>
                <w:szCs w:val="15"/>
                <w:lang w:val="en-US" w:eastAsia="zh-CN"/>
              </w:rPr>
              <w:t>　人员经费空缺</w:t>
            </w:r>
          </w:p>
        </w:tc>
      </w:tr>
      <w:tr w14:paraId="14F2416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AD1A97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B47F274">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1F6E3457">
            <w:pPr>
              <w:widowControl/>
              <w:jc w:val="left"/>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50144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908D4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45BB3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CC87E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C9315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6323B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2F05D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DD685CF">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1EBDBB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2EC41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62BC699">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262C8C46">
            <w:pPr>
              <w:jc w:val="left"/>
              <w:rPr>
                <w:rFonts w:ascii="Times New Roman" w:hAnsi="Times New Roman" w:eastAsia="仿宋_GB2312"/>
                <w:color w:val="000000"/>
                <w:kern w:val="0"/>
                <w:szCs w:val="21"/>
              </w:rPr>
            </w:pPr>
          </w:p>
          <w:p w14:paraId="1F240257">
            <w:pPr>
              <w:widowControl/>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CBC9D8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D21445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1B9801D">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推进平台公司市场化转型</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CD04AFE">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通过各项任务的实施，推进平台公司市场化转型取得实效，加大股权投资、上市融资、产业投资力度，发展产业，做实资本。</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3182DBD">
            <w:pPr>
              <w:widowControl/>
              <w:jc w:val="left"/>
              <w:rPr>
                <w:rFonts w:ascii="Times New Roman" w:hAnsi="Times New Roman" w:eastAsia="仿宋_GB2312"/>
                <w:color w:val="000000"/>
                <w:kern w:val="0"/>
                <w:szCs w:val="21"/>
              </w:rPr>
            </w:pPr>
            <w:r>
              <w:rPr>
                <w:rFonts w:hint="eastAsia" w:ascii="宋体" w:hAnsi="宋体" w:cs="宋体"/>
                <w:kern w:val="0"/>
                <w:sz w:val="15"/>
                <w:szCs w:val="15"/>
                <w:lang w:eastAsia="zh-CN"/>
              </w:rPr>
              <w:t>制定《关于进一步推动市级平台公司市场化转型发展的实施方案》，弘湘公司成功获评AA+信用评级和衡阳首家</w:t>
            </w:r>
            <w:r>
              <w:rPr>
                <w:rFonts w:hint="eastAsia" w:ascii="宋体" w:hAnsi="宋体" w:cs="宋体"/>
                <w:kern w:val="0"/>
                <w:sz w:val="15"/>
                <w:szCs w:val="15"/>
                <w:lang w:val="en-US" w:eastAsia="zh-CN"/>
              </w:rPr>
              <w:t>BBB-国际投资级信用评级，</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1512D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CC2326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1E79B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B6AB3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DFF8CCC">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88AFE84">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8C2677F">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CA88A0E">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加大供给侧结构性改革力度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7E5CDDA">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加大供给侧结构性改革力度，扶优做强支柱企业和骨干企业，淘汰落后产能，关闭“僵尸”企业。</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1686C7E">
            <w:pPr>
              <w:keepNext w:val="0"/>
              <w:keepLines w:val="0"/>
              <w:pageBreakBefore w:val="0"/>
              <w:kinsoku/>
              <w:wordWrap/>
              <w:overflowPunct/>
              <w:topLinePunct w:val="0"/>
              <w:autoSpaceDE/>
              <w:autoSpaceDN/>
              <w:bidi w:val="0"/>
              <w:spacing w:line="240" w:lineRule="auto"/>
              <w:jc w:val="left"/>
              <w:textAlignment w:val="auto"/>
              <w:rPr>
                <w:rFonts w:hint="eastAsia" w:ascii="Times New Roman" w:hAnsi="Times New Roman" w:eastAsia="仿宋_GB2312" w:cs="Times New Roman"/>
                <w:sz w:val="15"/>
                <w:szCs w:val="15"/>
              </w:rPr>
            </w:pPr>
            <w:r>
              <w:rPr>
                <w:rFonts w:hint="eastAsia" w:ascii="宋体" w:hAnsi="宋体" w:cs="宋体"/>
                <w:kern w:val="0"/>
                <w:sz w:val="15"/>
                <w:szCs w:val="15"/>
                <w:lang w:eastAsia="zh-CN"/>
              </w:rPr>
              <w:t>城建投盘活土地1046.53亩</w:t>
            </w:r>
            <w:r>
              <w:rPr>
                <w:rFonts w:hint="eastAsia" w:ascii="Times New Roman" w:hAnsi="Times New Roman" w:eastAsia="仿宋_GB2312" w:cs="Times New Roman"/>
                <w:sz w:val="15"/>
                <w:szCs w:val="15"/>
                <w:lang w:eastAsia="zh-CN"/>
              </w:rPr>
              <w:t>高新投盘活土345.31亩，市水利投与</w:t>
            </w:r>
            <w:r>
              <w:rPr>
                <w:rFonts w:hint="eastAsia" w:ascii="Times New Roman" w:hAnsi="Times New Roman" w:eastAsia="仿宋_GB2312" w:cs="Times New Roman"/>
                <w:sz w:val="15"/>
                <w:szCs w:val="15"/>
                <w:lang w:val="en-US" w:eastAsia="zh-CN"/>
              </w:rPr>
              <w:t>保利集团、</w:t>
            </w:r>
            <w:r>
              <w:rPr>
                <w:rFonts w:hint="eastAsia" w:ascii="Times New Roman" w:hAnsi="Times New Roman" w:eastAsia="仿宋_GB2312" w:cs="Times New Roman"/>
                <w:sz w:val="15"/>
                <w:szCs w:val="15"/>
                <w:lang w:eastAsia="zh-CN"/>
              </w:rPr>
              <w:t>扬翔集团，市发展投与上海滨江星、蘑菇车联等企业合作的重点项目取得重大进展。</w:t>
            </w:r>
          </w:p>
          <w:p w14:paraId="1BFBD72E">
            <w:pPr>
              <w:widowControl/>
              <w:jc w:val="left"/>
              <w:rPr>
                <w:rFonts w:ascii="Times New Roman" w:hAnsi="Times New Roman" w:eastAsia="仿宋_GB2312"/>
                <w:color w:val="000000"/>
                <w:kern w:val="0"/>
                <w:szCs w:val="21"/>
              </w:rPr>
            </w:pP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B71406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978E0C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8BAF2B3">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加速淘汰落后产能</w:t>
            </w:r>
          </w:p>
        </w:tc>
      </w:tr>
      <w:tr w14:paraId="1456CCA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4BBBA8C">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72339FEE">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88D87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91252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E777019">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大力推进政企分开</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62837CE">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加快推进市属机关事业单位与所属企业脱钩工作。</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CD250AF">
            <w:pPr>
              <w:widowControl/>
              <w:jc w:val="left"/>
              <w:rPr>
                <w:rFonts w:ascii="Times New Roman" w:hAnsi="Times New Roman" w:eastAsia="仿宋_GB2312"/>
                <w:b/>
                <w:bCs/>
                <w:color w:val="000000"/>
                <w:kern w:val="0"/>
                <w:szCs w:val="21"/>
              </w:rPr>
            </w:pPr>
            <w:r>
              <w:rPr>
                <w:rFonts w:hint="eastAsia" w:ascii="宋体" w:hAnsi="宋体" w:cs="宋体"/>
                <w:kern w:val="0"/>
                <w:sz w:val="15"/>
                <w:szCs w:val="15"/>
                <w:lang w:eastAsia="zh-CN"/>
              </w:rPr>
              <w:t>完善制度体系，</w:t>
            </w:r>
            <w:r>
              <w:rPr>
                <w:rFonts w:hint="eastAsia" w:ascii="宋体" w:hAnsi="宋体" w:cs="宋体"/>
                <w:kern w:val="0"/>
                <w:sz w:val="15"/>
                <w:szCs w:val="15"/>
                <w:lang w:val="en-US" w:eastAsia="zh-CN"/>
              </w:rPr>
              <w:t>出台了《衡阳市市属国有出资企业章程管理办法》</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472238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5DE3BD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31515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D162C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9F15DAA">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CCA76D6">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88236FD">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E277521">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积极开展混合所有制改革</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5629CE0">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通过项目的实施，积极开展混合所有制改革，对有条件的混合所有制公司开展员工持股试点工作。</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679F7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南岳电控公司实现市属一级企业集团层面混改破冰、</w:t>
            </w:r>
            <w:r>
              <w:rPr>
                <w:rFonts w:hint="eastAsia" w:ascii="宋体" w:hAnsi="宋体" w:cs="宋体"/>
                <w:kern w:val="0"/>
                <w:sz w:val="15"/>
                <w:szCs w:val="15"/>
                <w:lang w:val="en-US" w:eastAsia="zh-CN"/>
              </w:rPr>
              <w:t>员工持股工作，</w:t>
            </w:r>
            <w:r>
              <w:rPr>
                <w:rFonts w:hint="eastAsia" w:ascii="宋体" w:hAnsi="宋体" w:cs="宋体"/>
                <w:kern w:val="0"/>
                <w:sz w:val="15"/>
                <w:szCs w:val="15"/>
                <w:lang w:eastAsia="zh-CN"/>
              </w:rPr>
              <w:t>南岳电控公司员工790人受让中信（绵阳）持有的14.4</w:t>
            </w:r>
            <w:r>
              <w:rPr>
                <w:rFonts w:hint="eastAsia" w:ascii="宋体" w:hAnsi="宋体" w:cs="宋体"/>
                <w:kern w:val="0"/>
                <w:sz w:val="15"/>
                <w:szCs w:val="15"/>
                <w:lang w:val="en-US" w:eastAsia="zh-CN"/>
              </w:rPr>
              <w:t>2</w:t>
            </w:r>
            <w:r>
              <w:rPr>
                <w:rFonts w:hint="eastAsia" w:ascii="宋体" w:hAnsi="宋体" w:cs="宋体"/>
                <w:kern w:val="0"/>
                <w:sz w:val="15"/>
                <w:szCs w:val="15"/>
                <w:lang w:eastAsia="zh-CN"/>
              </w:rPr>
              <w:t>%股权，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A7A532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0889C2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F0E6E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F3083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65BDDB3">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664E2A2">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16F6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980A7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B49C7">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加强国企生态环境保护</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19E7">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督促监管企业强化生态环境保护、污染治理的各项措施，将生态环境保护工作纳入企业负责人经营业绩考核，严格奖惩。</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92225">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生态环境保护工作已纳入企业负责人经营业绩考核，各企业严格执行生态环境保护责任制。</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F765D2">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5D759D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767CB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71C08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26FF76F">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368D0AF">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3CB47C0">
            <w:pPr>
              <w:widowControl/>
              <w:spacing w:line="240" w:lineRule="exact"/>
              <w:jc w:val="left"/>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D5E6F5B">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256C055">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9B41B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2F62DB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11170B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76F070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9CC84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656737E">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417937D">
            <w:pPr>
              <w:widowControl/>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127398E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97800">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可持续发展</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D9A6A">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体现政策导向，保障国资委各项工作平稳进行、可持续发展。</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5C06F3">
            <w:pPr>
              <w:widowControl/>
              <w:jc w:val="left"/>
              <w:rPr>
                <w:rFonts w:hint="default" w:ascii="Times New Roman" w:hAnsi="Times New Roman" w:eastAsia="仿宋_GB2312"/>
                <w:color w:val="000000"/>
                <w:kern w:val="0"/>
                <w:szCs w:val="21"/>
                <w:lang w:val="en-US"/>
              </w:rPr>
            </w:pPr>
            <w:r>
              <w:rPr>
                <w:rFonts w:hint="eastAsia" w:ascii="宋体" w:hAnsi="宋体" w:cs="宋体"/>
                <w:kern w:val="0"/>
                <w:sz w:val="15"/>
                <w:szCs w:val="15"/>
                <w:lang w:eastAsia="zh-CN"/>
              </w:rPr>
              <w:t>　建立资金动态监测体系，加强融资事项监管，保障国资监管平衡可持续发展。</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09D47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9A73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6BAC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246E9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C1B0196">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E1080A4">
            <w:pPr>
              <w:widowControl/>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5752AF96">
            <w:pPr>
              <w:widowControl/>
              <w:spacing w:line="240" w:lineRule="exact"/>
              <w:jc w:val="left"/>
              <w:rPr>
                <w:rFonts w:ascii="Times New Roman" w:hAnsi="Times New Roman" w:eastAsia="仿宋_GB2312"/>
                <w:color w:val="000000"/>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14:paraId="2917146A">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nil"/>
              <w:left w:val="nil"/>
              <w:bottom w:val="single" w:color="auto" w:sz="4" w:space="0"/>
              <w:right w:val="single" w:color="auto" w:sz="4" w:space="0"/>
            </w:tcBorders>
            <w:shd w:val="clear" w:color="auto" w:fill="auto"/>
            <w:noWrap/>
            <w:vAlign w:val="center"/>
          </w:tcPr>
          <w:p w14:paraId="19FC334E">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76C0A0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2D7409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279CE2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3EED21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D2EAB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8584501">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6486D7EF">
            <w:pPr>
              <w:widowControl/>
              <w:jc w:val="center"/>
              <w:rPr>
                <w:rFonts w:ascii="Times New Roman" w:hAnsi="Times New Roman" w:eastAsia="仿宋_GB2312"/>
                <w:color w:val="000000"/>
                <w:kern w:val="0"/>
                <w:szCs w:val="21"/>
              </w:rPr>
            </w:pPr>
          </w:p>
        </w:tc>
        <w:tc>
          <w:tcPr>
            <w:tcW w:w="1110" w:type="dxa"/>
            <w:vMerge w:val="restart"/>
            <w:tcBorders>
              <w:top w:val="nil"/>
              <w:left w:val="nil"/>
              <w:right w:val="single" w:color="auto" w:sz="4" w:space="0"/>
            </w:tcBorders>
            <w:shd w:val="clear" w:color="auto" w:fill="auto"/>
            <w:noWrap/>
            <w:vAlign w:val="center"/>
          </w:tcPr>
          <w:p w14:paraId="29610A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nil"/>
              <w:left w:val="nil"/>
              <w:bottom w:val="single" w:color="auto" w:sz="4" w:space="0"/>
              <w:right w:val="single" w:color="auto" w:sz="4" w:space="0"/>
            </w:tcBorders>
            <w:shd w:val="clear" w:color="auto" w:fill="auto"/>
            <w:noWrap/>
            <w:vAlign w:val="center"/>
          </w:tcPr>
          <w:p w14:paraId="312BA0BC">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满意度指标</w:t>
            </w:r>
          </w:p>
        </w:tc>
        <w:tc>
          <w:tcPr>
            <w:tcW w:w="1110" w:type="dxa"/>
            <w:tcBorders>
              <w:top w:val="nil"/>
              <w:left w:val="nil"/>
              <w:bottom w:val="single" w:color="auto" w:sz="4" w:space="0"/>
              <w:right w:val="single" w:color="auto" w:sz="4" w:space="0"/>
            </w:tcBorders>
            <w:shd w:val="clear" w:color="auto" w:fill="auto"/>
            <w:noWrap/>
            <w:vAlign w:val="center"/>
          </w:tcPr>
          <w:p w14:paraId="40BB2CA3">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通过各个项目的实施，力争使监管企业满意度达到</w:t>
            </w:r>
            <w:r>
              <w:rPr>
                <w:rFonts w:hint="eastAsia" w:ascii="宋体" w:hAnsi="宋体" w:cs="宋体"/>
                <w:kern w:val="0"/>
                <w:sz w:val="15"/>
                <w:szCs w:val="15"/>
                <w:lang w:val="en-US" w:eastAsia="zh-CN"/>
              </w:rPr>
              <w:t>95%及以上</w:t>
            </w:r>
            <w:r>
              <w:rPr>
                <w:rFonts w:hint="eastAsia" w:ascii="宋体" w:hAnsi="宋体" w:cs="宋体"/>
                <w:kern w:val="0"/>
                <w:sz w:val="15"/>
                <w:szCs w:val="15"/>
                <w:lang w:eastAsia="zh-CN"/>
              </w:rPr>
              <w:t>。</w:t>
            </w:r>
          </w:p>
        </w:tc>
        <w:tc>
          <w:tcPr>
            <w:tcW w:w="1065" w:type="dxa"/>
            <w:gridSpan w:val="2"/>
            <w:tcBorders>
              <w:top w:val="nil"/>
              <w:left w:val="nil"/>
              <w:bottom w:val="single" w:color="auto" w:sz="4" w:space="0"/>
              <w:right w:val="single" w:color="auto" w:sz="4" w:space="0"/>
            </w:tcBorders>
            <w:shd w:val="clear" w:color="auto" w:fill="auto"/>
            <w:noWrap/>
            <w:vAlign w:val="center"/>
          </w:tcPr>
          <w:p w14:paraId="56A8D3E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监管企业满意度调查达到</w:t>
            </w:r>
            <w:r>
              <w:rPr>
                <w:rFonts w:hint="eastAsia" w:ascii="宋体" w:hAnsi="宋体" w:cs="宋体"/>
                <w:kern w:val="0"/>
                <w:sz w:val="15"/>
                <w:szCs w:val="15"/>
                <w:lang w:val="en-US" w:eastAsia="zh-CN"/>
              </w:rPr>
              <w:t>95%以上。</w:t>
            </w:r>
          </w:p>
        </w:tc>
        <w:tc>
          <w:tcPr>
            <w:tcW w:w="1170" w:type="dxa"/>
            <w:gridSpan w:val="2"/>
            <w:tcBorders>
              <w:top w:val="nil"/>
              <w:left w:val="nil"/>
              <w:bottom w:val="single" w:color="auto" w:sz="4" w:space="0"/>
              <w:right w:val="single" w:color="auto" w:sz="4" w:space="0"/>
            </w:tcBorders>
            <w:shd w:val="clear" w:color="auto" w:fill="auto"/>
            <w:noWrap/>
            <w:vAlign w:val="center"/>
          </w:tcPr>
          <w:p w14:paraId="495C37B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nil"/>
              <w:left w:val="nil"/>
              <w:bottom w:val="single" w:color="auto" w:sz="4" w:space="0"/>
              <w:right w:val="single" w:color="auto" w:sz="4" w:space="0"/>
            </w:tcBorders>
            <w:shd w:val="clear" w:color="auto" w:fill="auto"/>
            <w:noWrap/>
            <w:vAlign w:val="center"/>
          </w:tcPr>
          <w:p w14:paraId="37C5B7F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gridSpan w:val="2"/>
            <w:tcBorders>
              <w:top w:val="nil"/>
              <w:left w:val="nil"/>
              <w:bottom w:val="single" w:color="auto" w:sz="4" w:space="0"/>
              <w:right w:val="single" w:color="auto" w:sz="4" w:space="0"/>
            </w:tcBorders>
            <w:shd w:val="clear" w:color="auto" w:fill="auto"/>
            <w:noWrap/>
            <w:vAlign w:val="center"/>
          </w:tcPr>
          <w:p w14:paraId="7F38AA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8CE72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55C89929">
            <w:pPr>
              <w:widowControl/>
              <w:jc w:val="left"/>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6414D515">
            <w:pPr>
              <w:widowControl/>
              <w:jc w:val="left"/>
              <w:rPr>
                <w:rFonts w:ascii="Times New Roman" w:hAnsi="Times New Roman" w:eastAsia="仿宋_GB2312"/>
                <w:color w:val="000000"/>
                <w:kern w:val="0"/>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256CD9CC">
            <w:pPr>
              <w:widowControl/>
              <w:jc w:val="left"/>
              <w:rPr>
                <w:rFonts w:ascii="Times New Roman" w:hAnsi="Times New Roman" w:eastAsia="仿宋_GB2312"/>
                <w:color w:val="000000"/>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14:paraId="0845FF8F">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nil"/>
              <w:left w:val="nil"/>
              <w:bottom w:val="single" w:color="auto" w:sz="4" w:space="0"/>
              <w:right w:val="single" w:color="auto" w:sz="4" w:space="0"/>
            </w:tcBorders>
            <w:shd w:val="clear" w:color="auto" w:fill="auto"/>
            <w:noWrap/>
            <w:vAlign w:val="center"/>
          </w:tcPr>
          <w:p w14:paraId="63E1BFB7">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31D447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463A6B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34DB3E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26E7D5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63DB13">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97901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DEF534">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4A56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787880">
            <w:pPr>
              <w:widowControl/>
              <w:jc w:val="left"/>
              <w:rPr>
                <w:rFonts w:ascii="Times New Roman" w:hAnsi="Times New Roman" w:eastAsia="仿宋_GB2312"/>
                <w:color w:val="000000"/>
                <w:kern w:val="0"/>
                <w:szCs w:val="21"/>
              </w:rPr>
            </w:pPr>
          </w:p>
        </w:tc>
      </w:tr>
    </w:tbl>
    <w:p w14:paraId="5A9A3FED">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 xml:space="preserve"> 单位负责人签字：</w:t>
      </w:r>
    </w:p>
    <w:p w14:paraId="6B500265">
      <w:pPr>
        <w:rPr>
          <w:rFonts w:ascii="Times New Roman" w:hAnsi="Times New Roman" w:eastAsia="黑体"/>
          <w:sz w:val="32"/>
          <w:szCs w:val="32"/>
        </w:rPr>
      </w:pPr>
    </w:p>
    <w:p w14:paraId="745717A0">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30CA5E7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27336BD">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B1ADD0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4BF982B">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751E854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4980E6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C70266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F978A38">
            <w:pPr>
              <w:widowControl/>
              <w:jc w:val="center"/>
              <w:rPr>
                <w:rFonts w:ascii="Times New Roman" w:hAnsi="Times New Roman" w:eastAsia="仿宋_GB2312"/>
                <w:color w:val="000000"/>
                <w:kern w:val="0"/>
                <w:szCs w:val="21"/>
              </w:rPr>
            </w:pPr>
            <w:r>
              <w:rPr>
                <w:rFonts w:hint="eastAsia" w:hAnsi="宋体"/>
                <w:kern w:val="0"/>
                <w:sz w:val="20"/>
                <w:szCs w:val="20"/>
                <w:lang w:eastAsia="zh-CN"/>
              </w:rPr>
              <w:t>国有资产监管经费</w:t>
            </w:r>
            <w:r>
              <w:rPr>
                <w:rFonts w:hAnsi="宋体"/>
                <w:kern w:val="0"/>
                <w:sz w:val="20"/>
                <w:szCs w:val="20"/>
              </w:rPr>
              <w:t>　</w:t>
            </w:r>
            <w:r>
              <w:rPr>
                <w:rFonts w:ascii="Times New Roman" w:hAnsi="Times New Roman" w:eastAsia="仿宋_GB2312"/>
                <w:color w:val="000000"/>
                <w:kern w:val="0"/>
                <w:szCs w:val="21"/>
              </w:rPr>
              <w:t>　</w:t>
            </w:r>
          </w:p>
        </w:tc>
      </w:tr>
      <w:tr w14:paraId="1E4F121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A544D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ABE80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AEEC8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F1D40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56440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E981344">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4442C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5A121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19469C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76DE7D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EB0D27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13F0EB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EB738A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B93F1F1">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02E68E5">
            <w:pPr>
              <w:spacing w:line="240" w:lineRule="exact"/>
              <w:jc w:val="center"/>
              <w:rPr>
                <w:rFonts w:ascii="Times New Roman" w:hAnsi="Times New Roman" w:eastAsia="仿宋_GB2312"/>
                <w:szCs w:val="21"/>
              </w:rPr>
            </w:pPr>
          </w:p>
          <w:p w14:paraId="786358BF">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FDE8E6A">
            <w:pPr>
              <w:spacing w:line="240" w:lineRule="exact"/>
              <w:jc w:val="center"/>
              <w:rPr>
                <w:rFonts w:ascii="Times New Roman" w:hAnsi="Times New Roman" w:eastAsia="仿宋_GB2312"/>
                <w:szCs w:val="21"/>
              </w:rPr>
            </w:pPr>
          </w:p>
          <w:p w14:paraId="6FBCA6F7">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91D2B40">
            <w:pPr>
              <w:spacing w:line="240" w:lineRule="exact"/>
              <w:jc w:val="center"/>
              <w:rPr>
                <w:rFonts w:ascii="Times New Roman" w:hAnsi="Times New Roman" w:eastAsia="仿宋_GB2312"/>
                <w:szCs w:val="21"/>
              </w:rPr>
            </w:pPr>
          </w:p>
          <w:p w14:paraId="694707D4">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C6E214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0DE50E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8CF57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ED0317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30" w:type="dxa"/>
            <w:tcBorders>
              <w:top w:val="nil"/>
              <w:left w:val="nil"/>
              <w:bottom w:val="single" w:color="auto" w:sz="4" w:space="0"/>
              <w:right w:val="single" w:color="auto" w:sz="4" w:space="0"/>
            </w:tcBorders>
            <w:shd w:val="clear" w:color="auto" w:fill="auto"/>
            <w:noWrap/>
            <w:vAlign w:val="center"/>
          </w:tcPr>
          <w:p w14:paraId="04175B8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1107" w:type="dxa"/>
            <w:tcBorders>
              <w:top w:val="nil"/>
              <w:left w:val="nil"/>
              <w:bottom w:val="single" w:color="auto" w:sz="4" w:space="0"/>
              <w:right w:val="single" w:color="auto" w:sz="4" w:space="0"/>
            </w:tcBorders>
            <w:shd w:val="clear" w:color="auto" w:fill="auto"/>
            <w:noWrap/>
            <w:vAlign w:val="center"/>
          </w:tcPr>
          <w:p w14:paraId="03BEC81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993" w:type="dxa"/>
            <w:tcBorders>
              <w:top w:val="nil"/>
              <w:left w:val="nil"/>
              <w:bottom w:val="single" w:color="auto" w:sz="4" w:space="0"/>
              <w:right w:val="single" w:color="auto" w:sz="4" w:space="0"/>
            </w:tcBorders>
            <w:shd w:val="clear" w:color="auto" w:fill="auto"/>
            <w:noWrap/>
            <w:vAlign w:val="center"/>
          </w:tcPr>
          <w:p w14:paraId="04C76C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7D02AF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BB13CE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6901279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DBD432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E8ACB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D9121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E22B5B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1107" w:type="dxa"/>
            <w:tcBorders>
              <w:top w:val="nil"/>
              <w:left w:val="nil"/>
              <w:bottom w:val="single" w:color="auto" w:sz="4" w:space="0"/>
              <w:right w:val="single" w:color="auto" w:sz="4" w:space="0"/>
            </w:tcBorders>
            <w:shd w:val="clear" w:color="auto" w:fill="auto"/>
            <w:noWrap/>
            <w:vAlign w:val="center"/>
          </w:tcPr>
          <w:p w14:paraId="4A4DBB1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993" w:type="dxa"/>
            <w:tcBorders>
              <w:top w:val="nil"/>
              <w:left w:val="nil"/>
              <w:bottom w:val="single" w:color="auto" w:sz="4" w:space="0"/>
              <w:right w:val="single" w:color="auto" w:sz="4" w:space="0"/>
            </w:tcBorders>
            <w:shd w:val="clear" w:color="auto" w:fill="auto"/>
            <w:noWrap/>
            <w:vAlign w:val="center"/>
          </w:tcPr>
          <w:p w14:paraId="26CF9A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DBA2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F8501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79869B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3A03FA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209C1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A0BA6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BC1663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3A791EE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1641A1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3F2FD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0D0E3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8A270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BE25CD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A25211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DDF36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7A972F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4FC7E3C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02FC07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69BC6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67E13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BB1B1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4DC81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56FBE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1AFE0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2D3FD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4C388C5">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5B5A75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6E8194E">
            <w:pPr>
              <w:widowControl/>
              <w:jc w:val="center"/>
              <w:rPr>
                <w:rFonts w:ascii="Times New Roman" w:hAnsi="Times New Roman" w:eastAsia="仿宋_GB2312"/>
                <w:color w:val="000000"/>
                <w:kern w:val="0"/>
                <w:szCs w:val="21"/>
              </w:rPr>
            </w:pPr>
            <w:r>
              <w:rPr>
                <w:rFonts w:hint="eastAsia" w:hAnsi="宋体"/>
                <w:kern w:val="0"/>
                <w:sz w:val="20"/>
                <w:szCs w:val="20"/>
                <w:lang w:eastAsia="zh-CN"/>
              </w:rPr>
              <w:t>通过项目的实施，依法合规履行出资人职权，有效落实国有资产保值增值责任，提升国资监管水平，引导企业实现效益更高、质量更好、结构更优的发展，不断做强做优做大国有资本。</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FC06D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20"/>
                <w:szCs w:val="20"/>
                <w:lang w:eastAsia="zh-CN"/>
              </w:rPr>
              <w:t>有效落实了国有资产保值增值责任，提升了国资监管水平，引导企业实现效益更高、质量更好、结构更优的发展，不断做强做优做大国有资本。</w:t>
            </w:r>
            <w:r>
              <w:rPr>
                <w:rFonts w:ascii="Times New Roman" w:hAnsi="Times New Roman" w:eastAsia="仿宋_GB2312"/>
                <w:color w:val="000000"/>
                <w:kern w:val="0"/>
                <w:szCs w:val="21"/>
              </w:rPr>
              <w:t>　　</w:t>
            </w:r>
          </w:p>
        </w:tc>
      </w:tr>
      <w:tr w14:paraId="6226117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1F038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9DFB8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0FBF8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45A2A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92408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5E4E71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27D0D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EDC00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6EF14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9DE1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518A5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B67F8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1B1A9C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415B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5B233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B7646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C15FAC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E41A3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8C0A0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EFB5C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08485BC">
            <w:pPr>
              <w:widowControl/>
              <w:jc w:val="center"/>
              <w:rPr>
                <w:rFonts w:ascii="Times New Roman" w:hAnsi="Times New Roman" w:eastAsia="仿宋_GB2312"/>
                <w:color w:val="000000"/>
                <w:kern w:val="0"/>
                <w:szCs w:val="21"/>
              </w:rPr>
            </w:pPr>
          </w:p>
          <w:p w14:paraId="2001BB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3B7A0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7E35326">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监管企业</w:t>
            </w:r>
            <w:r>
              <w:rPr>
                <w:rFonts w:hint="eastAsia" w:hAnsi="宋体"/>
                <w:kern w:val="0"/>
                <w:sz w:val="15"/>
                <w:szCs w:val="15"/>
                <w:lang w:val="en-US" w:eastAsia="zh-CN"/>
              </w:rPr>
              <w:t>2020年度</w:t>
            </w:r>
            <w:r>
              <w:rPr>
                <w:rFonts w:hint="eastAsia" w:hAnsi="宋体"/>
                <w:kern w:val="0"/>
                <w:sz w:val="15"/>
                <w:szCs w:val="15"/>
                <w:lang w:eastAsia="zh-CN"/>
              </w:rPr>
              <w:t>经营业绩考核</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23817FE">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完成10家监管企业2020年度经营业绩考核工作。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D14E4C">
            <w:pPr>
              <w:widowControl/>
              <w:spacing w:line="280" w:lineRule="exact"/>
              <w:jc w:val="center"/>
              <w:rPr>
                <w:rFonts w:hint="default" w:hAnsi="宋体"/>
                <w:kern w:val="0"/>
                <w:sz w:val="15"/>
                <w:szCs w:val="15"/>
                <w:lang w:val="en-US" w:eastAsia="zh-CN"/>
              </w:rPr>
            </w:pPr>
            <w:r>
              <w:rPr>
                <w:rFonts w:hint="eastAsia" w:hAnsi="宋体"/>
                <w:kern w:val="0"/>
                <w:sz w:val="15"/>
                <w:szCs w:val="15"/>
                <w:lang w:val="en-US" w:eastAsia="zh-CN"/>
              </w:rPr>
              <w:t>　完成10家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549FC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761BBF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8EB4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12E92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F0416D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4E5A74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0D8B2D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DBE5D8">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监管企业2021年度工资总额预算</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01DFF73">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完成10家监管企业2021年度工资总额预算管理工作。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615940">
            <w:pPr>
              <w:widowControl/>
              <w:spacing w:line="280" w:lineRule="exact"/>
              <w:jc w:val="center"/>
              <w:rPr>
                <w:rFonts w:hint="default" w:hAnsi="宋体"/>
                <w:kern w:val="0"/>
                <w:sz w:val="15"/>
                <w:szCs w:val="15"/>
                <w:lang w:val="en-US" w:eastAsia="zh-CN"/>
              </w:rPr>
            </w:pPr>
            <w:r>
              <w:rPr>
                <w:rFonts w:hint="eastAsia" w:hAnsi="宋体"/>
                <w:kern w:val="0"/>
                <w:sz w:val="15"/>
                <w:szCs w:val="15"/>
                <w:lang w:val="en-US" w:eastAsia="zh-CN"/>
              </w:rPr>
              <w:t>　完成10家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D91FF5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F7BC0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17AD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AFDDA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E98C2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EDBFDF4">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A1830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CB6540">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上缴国有资本收益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14BAF32">
            <w:pPr>
              <w:widowControl/>
              <w:spacing w:line="280" w:lineRule="exact"/>
              <w:jc w:val="center"/>
              <w:rPr>
                <w:rFonts w:hint="default" w:ascii="Calibri" w:hAnsi="宋体" w:eastAsia="宋体" w:cs="Times New Roman"/>
                <w:kern w:val="0"/>
                <w:sz w:val="15"/>
                <w:szCs w:val="15"/>
                <w:lang w:val="en-US" w:eastAsia="zh-CN" w:bidi="ar-SA"/>
              </w:rPr>
            </w:pPr>
            <w:r>
              <w:rPr>
                <w:rFonts w:hint="eastAsia" w:hAnsi="宋体"/>
                <w:kern w:val="0"/>
                <w:sz w:val="15"/>
                <w:szCs w:val="15"/>
                <w:lang w:eastAsia="zh-CN"/>
              </w:rPr>
              <w:t>组织监管企业按时上缴国有资本收益，未按时上缴的企业数量不超过</w:t>
            </w:r>
            <w:r>
              <w:rPr>
                <w:rFonts w:hint="eastAsia" w:hAnsi="宋体"/>
                <w:kern w:val="0"/>
                <w:sz w:val="15"/>
                <w:szCs w:val="15"/>
                <w:lang w:val="en-US" w:eastAsia="zh-CN"/>
              </w:rPr>
              <w:t>3家。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E0F2361">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全部按时上缴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764F4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7DF69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07D8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14F86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ACFC05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16559F0">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E85FD25">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D223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52B4E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E619FDF">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541B4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639C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B40D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255A28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C7A8E5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C56582D">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D2C69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4EA0EA3">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完成时限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B0FEC0E">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2021年12月底前完成。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C79617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7B73A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E66417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0174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A9BA5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AE67D7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FB902A4">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FC0814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28E72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6820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3F16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E0DB0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DDF35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192D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19096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557437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08ECCDF">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0AF6E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0F45B94">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C85BD0">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国有资产监管经费共</w:t>
            </w:r>
            <w:r>
              <w:rPr>
                <w:rFonts w:hint="eastAsia" w:hAnsi="宋体"/>
                <w:kern w:val="0"/>
                <w:sz w:val="15"/>
                <w:szCs w:val="15"/>
                <w:lang w:val="en-US" w:eastAsia="zh-CN"/>
              </w:rPr>
              <w:t>100万元，包括产权管理、考核分配、资本收益与财务管理等相关业务开支。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41E0D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达标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2F3D5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00072C">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AC3F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3B054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570A10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8F521D8">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67BB0BE4">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E071A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19BAE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48DBE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F9BC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17BF4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7E25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B14D0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22C9D95">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1BA375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7D881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819D3F8">
            <w:pPr>
              <w:widowControl/>
              <w:jc w:val="left"/>
              <w:rPr>
                <w:rFonts w:ascii="Times New Roman" w:hAnsi="Times New Roman" w:eastAsia="仿宋_GB2312"/>
                <w:color w:val="000000"/>
                <w:kern w:val="0"/>
                <w:szCs w:val="21"/>
              </w:rPr>
            </w:pPr>
          </w:p>
          <w:p w14:paraId="534463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440F523">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25276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E9E2F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7BE4E0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促进国企经济有序发展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8DF6E6">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通过各项任务的实施，促进国企经济有序发展。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782E8F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国企经济有序发展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E28E15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88E211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BA9E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5B831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93CAF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4639214">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2847BBD">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1E390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A1930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55D456">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6324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AE5A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0111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9D919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1521A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5EFB028">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427FC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D8722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3F630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引导国企注重社会效益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2F7C62">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通过对监管企业实施分类考核，鼓励企业积极承担社会责任。</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E82FC9">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国企积极承担社会责任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6FC04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ECAFF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59E5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80F54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841E61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EB94622">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670F4E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2F5E7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060C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2FE0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29526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361C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B5DB1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3F5C2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1203C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E818E02">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DE87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C712E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6C7A9">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加强国企生态环境保护</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083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督促监管企业强化生态环境保护、污染治理的各项措施，将生态环境保护工作纳入企业经营业绩考核，严格奖惩。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15F0">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hAnsi="宋体"/>
                <w:kern w:val="0"/>
                <w:sz w:val="15"/>
                <w:szCs w:val="15"/>
                <w:lang w:val="en-US" w:eastAsia="zh-CN"/>
              </w:rPr>
              <w:t>监管企业严控生态环境保护工作</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1D49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966F93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8784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F11BC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90D62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39918BC">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FE90EB7">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8DBF5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9E9B4F9">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2150E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00B00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C1D28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7DB28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884D5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A2AE43C">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50386CFE">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079E08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28829">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2D1E6">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体现政策导向，保障国资委各项工作平稳进行、可持续发展。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20FA5">
            <w:pPr>
              <w:widowControl/>
              <w:jc w:val="left"/>
              <w:rPr>
                <w:rFonts w:ascii="Times New Roman" w:hAnsi="Times New Roman" w:eastAsia="仿宋_GB2312"/>
                <w:color w:val="000000"/>
                <w:kern w:val="0"/>
                <w:szCs w:val="21"/>
              </w:rPr>
            </w:pPr>
            <w:r>
              <w:rPr>
                <w:rFonts w:hint="eastAsia" w:hAnsi="宋体"/>
                <w:kern w:val="0"/>
                <w:sz w:val="15"/>
                <w:szCs w:val="15"/>
                <w:lang w:val="en-US" w:eastAsia="zh-CN"/>
              </w:rPr>
              <w:t>各项工作平稳进行、可持续发展。</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DD1C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B64C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0C8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0FD746">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7201F0D1">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50882614">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518A08A0">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3AF6EC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5041BF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89158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206BF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68809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2EF6E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DA364E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2377D36">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501003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FB6D9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E597C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43CA94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280136E2">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国有企业满意度</w:t>
            </w:r>
          </w:p>
        </w:tc>
        <w:tc>
          <w:tcPr>
            <w:tcW w:w="1230" w:type="dxa"/>
            <w:tcBorders>
              <w:top w:val="nil"/>
              <w:left w:val="nil"/>
              <w:bottom w:val="single" w:color="auto" w:sz="4" w:space="0"/>
              <w:right w:val="single" w:color="auto" w:sz="4" w:space="0"/>
            </w:tcBorders>
            <w:shd w:val="clear" w:color="auto" w:fill="auto"/>
            <w:noWrap/>
            <w:vAlign w:val="center"/>
          </w:tcPr>
          <w:p w14:paraId="0EE07D01">
            <w:pPr>
              <w:widowControl/>
              <w:spacing w:line="280" w:lineRule="exact"/>
              <w:jc w:val="center"/>
              <w:rPr>
                <w:rFonts w:hint="eastAsia" w:ascii="Calibri" w:hAnsi="宋体" w:eastAsia="宋体" w:cs="Times New Roman"/>
                <w:kern w:val="0"/>
                <w:sz w:val="20"/>
                <w:szCs w:val="20"/>
                <w:lang w:val="en-US" w:eastAsia="zh-CN" w:bidi="ar-SA"/>
              </w:rPr>
            </w:pPr>
            <w:r>
              <w:rPr>
                <w:rFonts w:hint="eastAsia" w:hAnsi="宋体"/>
                <w:kern w:val="0"/>
                <w:sz w:val="15"/>
                <w:szCs w:val="15"/>
                <w:lang w:val="en-US" w:eastAsia="zh-CN"/>
              </w:rPr>
              <w:t>通过各个项目的实施，力争使监管企业对项目实施的满意度达到较好水平</w:t>
            </w:r>
            <w:r>
              <w:rPr>
                <w:rFonts w:hint="eastAsia" w:hAnsi="宋体"/>
                <w:kern w:val="0"/>
                <w:sz w:val="20"/>
                <w:szCs w:val="20"/>
                <w:lang w:eastAsia="zh-CN"/>
              </w:rPr>
              <w:t>。</w:t>
            </w:r>
          </w:p>
        </w:tc>
        <w:tc>
          <w:tcPr>
            <w:tcW w:w="1107" w:type="dxa"/>
            <w:tcBorders>
              <w:top w:val="nil"/>
              <w:left w:val="nil"/>
              <w:bottom w:val="single" w:color="auto" w:sz="4" w:space="0"/>
              <w:right w:val="single" w:color="auto" w:sz="4" w:space="0"/>
            </w:tcBorders>
            <w:shd w:val="clear" w:color="auto" w:fill="auto"/>
            <w:noWrap/>
            <w:vAlign w:val="center"/>
          </w:tcPr>
          <w:p w14:paraId="071934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满意度达到较好水平</w:t>
            </w:r>
            <w:r>
              <w:rPr>
                <w:rFonts w:hint="eastAsia" w:hAnsi="宋体"/>
                <w:kern w:val="0"/>
                <w:sz w:val="20"/>
                <w:szCs w:val="20"/>
                <w:lang w:eastAsia="zh-CN"/>
              </w:rPr>
              <w:t>。</w:t>
            </w:r>
          </w:p>
        </w:tc>
        <w:tc>
          <w:tcPr>
            <w:tcW w:w="993" w:type="dxa"/>
            <w:tcBorders>
              <w:top w:val="nil"/>
              <w:left w:val="nil"/>
              <w:bottom w:val="single" w:color="auto" w:sz="4" w:space="0"/>
              <w:right w:val="single" w:color="auto" w:sz="4" w:space="0"/>
            </w:tcBorders>
            <w:shd w:val="clear" w:color="auto" w:fill="auto"/>
            <w:noWrap/>
            <w:vAlign w:val="center"/>
          </w:tcPr>
          <w:p w14:paraId="59CAD48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2634E17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nil"/>
              <w:left w:val="nil"/>
              <w:bottom w:val="single" w:color="auto" w:sz="4" w:space="0"/>
              <w:right w:val="single" w:color="auto" w:sz="4" w:space="0"/>
            </w:tcBorders>
            <w:shd w:val="clear" w:color="auto" w:fill="auto"/>
            <w:noWrap/>
            <w:vAlign w:val="center"/>
          </w:tcPr>
          <w:p w14:paraId="25E971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A14C05">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59222AFF">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19927459">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64F46E27">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504A02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0E42A7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ACB2F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41666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3A52A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6187D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E71A2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5D8F9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86595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CCCD79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610C7C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EBB815D">
      <w:pPr>
        <w:spacing w:beforeLines="50"/>
        <w:rPr>
          <w:rFonts w:ascii="Times New Roman" w:hAnsi="Times New Roman" w:eastAsia="仿宋_GB2312"/>
          <w:sz w:val="24"/>
        </w:rPr>
      </w:pPr>
    </w:p>
    <w:p w14:paraId="093D5F27">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792FCB03">
      <w:pPr>
        <w:rPr>
          <w:rFonts w:ascii="Times New Roman" w:hAnsi="Times New Roman" w:eastAsia="黑体"/>
          <w:sz w:val="32"/>
          <w:szCs w:val="32"/>
        </w:rPr>
      </w:pPr>
    </w:p>
    <w:p w14:paraId="639E9566">
      <w:pPr>
        <w:rPr>
          <w:rFonts w:ascii="Times New Roman" w:hAnsi="Times New Roman" w:eastAsia="黑体"/>
          <w:sz w:val="32"/>
          <w:szCs w:val="32"/>
        </w:rPr>
      </w:pPr>
    </w:p>
    <w:p w14:paraId="4F3B66A8">
      <w:pPr>
        <w:rPr>
          <w:rFonts w:ascii="Times New Roman" w:hAnsi="Times New Roman" w:eastAsia="黑体"/>
          <w:sz w:val="32"/>
          <w:szCs w:val="32"/>
        </w:rPr>
      </w:pPr>
    </w:p>
    <w:p w14:paraId="6C389F2B">
      <w:pPr>
        <w:rPr>
          <w:rFonts w:ascii="Times New Roman" w:hAnsi="Times New Roman" w:eastAsia="黑体"/>
          <w:sz w:val="32"/>
          <w:szCs w:val="32"/>
        </w:rPr>
      </w:pPr>
    </w:p>
    <w:p w14:paraId="60A37351">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1923F52">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589B65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03BC1FE">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B692111">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4C8EE8B8">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2E959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08A73D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EE5BBCD">
            <w:pPr>
              <w:widowControl/>
              <w:jc w:val="center"/>
              <w:rPr>
                <w:rFonts w:ascii="Times New Roman" w:hAnsi="Times New Roman" w:eastAsia="仿宋_GB2312"/>
                <w:color w:val="000000"/>
                <w:kern w:val="0"/>
                <w:szCs w:val="21"/>
              </w:rPr>
            </w:pPr>
            <w:r>
              <w:rPr>
                <w:rFonts w:hint="eastAsia" w:hAnsi="宋体"/>
                <w:kern w:val="0"/>
                <w:sz w:val="20"/>
                <w:szCs w:val="20"/>
                <w:lang w:eastAsia="zh-CN"/>
              </w:rPr>
              <w:t>驻市国资委纪检组专项经费</w:t>
            </w:r>
            <w:r>
              <w:rPr>
                <w:rFonts w:hint="eastAsia" w:hAnsi="宋体"/>
                <w:kern w:val="0"/>
                <w:sz w:val="20"/>
                <w:szCs w:val="20"/>
              </w:rPr>
              <w:t>　</w:t>
            </w:r>
          </w:p>
        </w:tc>
      </w:tr>
      <w:tr w14:paraId="6614FE99">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8539F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32F7E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8FC00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8DCE9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012DA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0ADA8EB">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7E8CA4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52208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553E58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DD97E4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DE7479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6DDC03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02FF19C">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2E3E1B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6F0266E">
            <w:pPr>
              <w:spacing w:line="240" w:lineRule="exact"/>
              <w:jc w:val="center"/>
              <w:rPr>
                <w:rFonts w:ascii="Times New Roman" w:hAnsi="Times New Roman" w:eastAsia="仿宋_GB2312"/>
                <w:szCs w:val="21"/>
              </w:rPr>
            </w:pPr>
          </w:p>
          <w:p w14:paraId="07FB50B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854B25D">
            <w:pPr>
              <w:spacing w:line="240" w:lineRule="exact"/>
              <w:jc w:val="center"/>
              <w:rPr>
                <w:rFonts w:ascii="Times New Roman" w:hAnsi="Times New Roman" w:eastAsia="仿宋_GB2312"/>
                <w:szCs w:val="21"/>
              </w:rPr>
            </w:pPr>
          </w:p>
          <w:p w14:paraId="073D9A0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57911C29">
            <w:pPr>
              <w:spacing w:line="240" w:lineRule="exact"/>
              <w:jc w:val="center"/>
              <w:rPr>
                <w:rFonts w:ascii="Times New Roman" w:hAnsi="Times New Roman" w:eastAsia="仿宋_GB2312"/>
                <w:szCs w:val="21"/>
              </w:rPr>
            </w:pPr>
          </w:p>
          <w:p w14:paraId="3D60031A">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4D05D0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38C14E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A35A0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406460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27.6</w:t>
            </w:r>
          </w:p>
        </w:tc>
        <w:tc>
          <w:tcPr>
            <w:tcW w:w="1230" w:type="dxa"/>
            <w:tcBorders>
              <w:top w:val="nil"/>
              <w:left w:val="nil"/>
              <w:bottom w:val="single" w:color="auto" w:sz="4" w:space="0"/>
              <w:right w:val="single" w:color="auto" w:sz="4" w:space="0"/>
            </w:tcBorders>
            <w:shd w:val="clear" w:color="auto" w:fill="auto"/>
            <w:noWrap/>
            <w:vAlign w:val="center"/>
          </w:tcPr>
          <w:p w14:paraId="6BAA837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107" w:type="dxa"/>
            <w:tcBorders>
              <w:top w:val="nil"/>
              <w:left w:val="nil"/>
              <w:bottom w:val="single" w:color="auto" w:sz="4" w:space="0"/>
              <w:right w:val="single" w:color="auto" w:sz="4" w:space="0"/>
            </w:tcBorders>
            <w:shd w:val="clear" w:color="auto" w:fill="auto"/>
            <w:noWrap/>
            <w:vAlign w:val="center"/>
          </w:tcPr>
          <w:p w14:paraId="031997B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993" w:type="dxa"/>
            <w:tcBorders>
              <w:top w:val="nil"/>
              <w:left w:val="nil"/>
              <w:bottom w:val="single" w:color="auto" w:sz="4" w:space="0"/>
              <w:right w:val="single" w:color="auto" w:sz="4" w:space="0"/>
            </w:tcBorders>
            <w:shd w:val="clear" w:color="auto" w:fill="auto"/>
            <w:noWrap/>
            <w:vAlign w:val="center"/>
          </w:tcPr>
          <w:p w14:paraId="3932A5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A950E0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016B473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4F25CA4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EE0B1B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2160A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407834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230" w:type="dxa"/>
            <w:tcBorders>
              <w:top w:val="nil"/>
              <w:left w:val="nil"/>
              <w:bottom w:val="single" w:color="auto" w:sz="4" w:space="0"/>
              <w:right w:val="single" w:color="auto" w:sz="4" w:space="0"/>
            </w:tcBorders>
            <w:shd w:val="clear" w:color="auto" w:fill="auto"/>
            <w:noWrap/>
            <w:vAlign w:val="center"/>
          </w:tcPr>
          <w:p w14:paraId="39F6314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107" w:type="dxa"/>
            <w:tcBorders>
              <w:top w:val="nil"/>
              <w:left w:val="nil"/>
              <w:bottom w:val="single" w:color="auto" w:sz="4" w:space="0"/>
              <w:right w:val="single" w:color="auto" w:sz="4" w:space="0"/>
            </w:tcBorders>
            <w:shd w:val="clear" w:color="auto" w:fill="auto"/>
            <w:noWrap/>
            <w:vAlign w:val="center"/>
          </w:tcPr>
          <w:p w14:paraId="445FE66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27.6</w:t>
            </w:r>
          </w:p>
        </w:tc>
        <w:tc>
          <w:tcPr>
            <w:tcW w:w="993" w:type="dxa"/>
            <w:tcBorders>
              <w:top w:val="nil"/>
              <w:left w:val="nil"/>
              <w:bottom w:val="single" w:color="auto" w:sz="4" w:space="0"/>
              <w:right w:val="single" w:color="auto" w:sz="4" w:space="0"/>
            </w:tcBorders>
            <w:shd w:val="clear" w:color="auto" w:fill="auto"/>
            <w:noWrap/>
            <w:vAlign w:val="center"/>
          </w:tcPr>
          <w:p w14:paraId="18E5A4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D412B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43723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5C1E2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559C70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56BF29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89A733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004AAA8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3008C35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11DE52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EFD8C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648EF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EF282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26118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EB113B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EBE8A8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7B400CE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717F1F13">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17BD3A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3B041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A5101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4B2FB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1D685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1104A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D0331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7056B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208FDE9">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BF05E2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8FF5D46">
            <w:pPr>
              <w:widowControl/>
              <w:jc w:val="center"/>
              <w:rPr>
                <w:rFonts w:ascii="Times New Roman" w:hAnsi="Times New Roman" w:eastAsia="仿宋_GB2312"/>
                <w:color w:val="000000"/>
                <w:kern w:val="0"/>
                <w:szCs w:val="21"/>
              </w:rPr>
            </w:pPr>
            <w:r>
              <w:rPr>
                <w:rFonts w:hint="eastAsia" w:hAnsi="宋体"/>
                <w:kern w:val="0"/>
                <w:sz w:val="20"/>
                <w:szCs w:val="20"/>
                <w:lang w:eastAsia="zh-CN"/>
              </w:rPr>
              <w:t>强化监督主责、化解信访积案、督促巡察整改，努力推动全面从严治党向纵深发展。</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18FDF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20"/>
                <w:szCs w:val="20"/>
                <w:lang w:eastAsia="zh-CN"/>
              </w:rPr>
              <w:t>强化监督主责、化解信访积案、督促巡察整改，努力推动全面从严治党向纵深发展。</w:t>
            </w:r>
          </w:p>
        </w:tc>
      </w:tr>
      <w:tr w14:paraId="2C58FFE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6E26EF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B994F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03183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0BB98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EBBFB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96975E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8308AA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78F0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7C385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16FF22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6F536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26B1B5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DD359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CB370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18F06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37F91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66A20B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4AEEB6">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D76D2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8F2FD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BDCD86E">
            <w:pPr>
              <w:widowControl/>
              <w:jc w:val="center"/>
              <w:rPr>
                <w:rFonts w:ascii="Times New Roman" w:hAnsi="Times New Roman" w:eastAsia="仿宋_GB2312"/>
                <w:color w:val="000000"/>
                <w:kern w:val="0"/>
                <w:szCs w:val="21"/>
              </w:rPr>
            </w:pPr>
          </w:p>
          <w:p w14:paraId="1DE835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1534C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9D0154F">
            <w:pPr>
              <w:widowControl/>
              <w:jc w:val="center"/>
              <w:rPr>
                <w:rFonts w:hint="default" w:hAnsi="宋体"/>
                <w:kern w:val="0"/>
                <w:sz w:val="15"/>
                <w:szCs w:val="15"/>
                <w:lang w:val="en-US" w:eastAsia="zh-CN"/>
              </w:rPr>
            </w:pPr>
            <w:r>
              <w:rPr>
                <w:rFonts w:hint="eastAsia" w:hAnsi="宋体"/>
                <w:kern w:val="0"/>
                <w:sz w:val="15"/>
                <w:szCs w:val="15"/>
                <w:lang w:val="en-US" w:eastAsia="zh-CN"/>
              </w:rPr>
              <w:t>开展日常监督检查</w:t>
            </w:r>
          </w:p>
          <w:p w14:paraId="1EACAB71">
            <w:pPr>
              <w:widowControl/>
              <w:jc w:val="left"/>
              <w:rPr>
                <w:rFonts w:ascii="Times New Roman" w:hAnsi="Times New Roman" w:eastAsia="仿宋_GB2312"/>
                <w:color w:val="000000"/>
                <w:kern w:val="0"/>
                <w:sz w:val="15"/>
                <w:szCs w:val="15"/>
              </w:rPr>
            </w:pPr>
            <w:r>
              <w:rPr>
                <w:rFonts w:hint="eastAsia" w:hAnsi="宋体"/>
                <w:kern w:val="0"/>
                <w:sz w:val="15"/>
                <w:szCs w:val="15"/>
                <w:lang w:eastAsia="zh-CN"/>
              </w:rPr>
              <w:t>指标2：处置</w:t>
            </w:r>
            <w:r>
              <w:rPr>
                <w:rFonts w:hint="eastAsia" w:hAnsi="宋体"/>
                <w:kern w:val="0"/>
                <w:sz w:val="15"/>
                <w:szCs w:val="15"/>
                <w:lang w:val="en-US" w:eastAsia="zh-CN"/>
              </w:rPr>
              <w:t>信访件和</w:t>
            </w:r>
            <w:r>
              <w:rPr>
                <w:rFonts w:hint="eastAsia" w:hAnsi="宋体"/>
                <w:kern w:val="0"/>
                <w:sz w:val="15"/>
                <w:szCs w:val="15"/>
                <w:lang w:eastAsia="zh-CN"/>
              </w:rPr>
              <w:t>问题线索数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F484821">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hAnsi="宋体"/>
                <w:kern w:val="0"/>
                <w:sz w:val="15"/>
                <w:szCs w:val="15"/>
                <w:lang w:val="en-US" w:eastAsia="zh-CN"/>
              </w:rPr>
              <w:t>较上年度开展监督检查增加5%；受理信访件和问题线索数下降5%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019DDA">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较上年度开展监督检查增加5%；受理信访件和问题线索数下降10%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D2688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F01F2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B168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F717A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DE6797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0885011">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61DE203">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3FA5C7">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4FA7BCD">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F2272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E62E7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5CBEB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7A4B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14C70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514BED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495AC7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C4CCF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5F47A9">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依规依纪依法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2E4FCD6">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较上年度优化5%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4171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较上年度优化5%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134F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4CE6DE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1F2D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7E31C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7F8238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1F4D19E">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03DC6D5">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94AA353">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3BC37B9">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045C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D5E8A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E5C8B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0F227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33105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4ADB11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CEBD1FD">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0A8A9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5E83C6">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按各项任务规定时效完成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8C5DBFE">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2021年12月底完成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8C4BEB">
            <w:pPr>
              <w:widowControl/>
              <w:jc w:val="left"/>
              <w:rPr>
                <w:rFonts w:hint="eastAsia" w:hAnsi="宋体"/>
                <w:kern w:val="0"/>
                <w:sz w:val="15"/>
                <w:szCs w:val="15"/>
                <w:lang w:val="en-US" w:eastAsia="zh-CN"/>
              </w:rPr>
            </w:pPr>
            <w:r>
              <w:rPr>
                <w:rFonts w:hint="eastAsia" w:hAnsi="宋体"/>
                <w:kern w:val="0"/>
                <w:sz w:val="15"/>
                <w:szCs w:val="15"/>
                <w:lang w:val="en-US" w:eastAsia="zh-CN"/>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2AFE0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B389A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CBF0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8BB6A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345E2C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498AFE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1D41F37">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57D1B3A">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4EC872">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2775D7">
            <w:pPr>
              <w:widowControl/>
              <w:jc w:val="left"/>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FF796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985B8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0042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2DEA57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9FBBCA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7546A70">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9978F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E4B7D97">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E112481">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驻市国资委纪检组专项经费为</w:t>
            </w:r>
            <w:r>
              <w:rPr>
                <w:rFonts w:hint="eastAsia" w:hAnsi="宋体"/>
                <w:kern w:val="0"/>
                <w:sz w:val="15"/>
                <w:szCs w:val="15"/>
                <w:lang w:val="en-US" w:eastAsia="zh-CN"/>
              </w:rPr>
              <w:t>27.6万元，包括纪检组日常办公经费、差旅费、办案费用等。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30A6DD2">
            <w:pPr>
              <w:widowControl/>
              <w:jc w:val="left"/>
              <w:rPr>
                <w:rFonts w:hint="eastAsia" w:hAnsi="宋体"/>
                <w:kern w:val="0"/>
                <w:sz w:val="15"/>
                <w:szCs w:val="15"/>
                <w:lang w:val="en-US" w:eastAsia="zh-CN"/>
              </w:rPr>
            </w:pPr>
            <w:r>
              <w:rPr>
                <w:rFonts w:hint="eastAsia" w:hAnsi="宋体"/>
                <w:kern w:val="0"/>
                <w:sz w:val="15"/>
                <w:szCs w:val="15"/>
                <w:lang w:val="en-US" w:eastAsia="zh-CN"/>
              </w:rPr>
              <w:t>　成本控制到位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E2C26F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CD4E1D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7D4B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67EFA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47174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FDB5980">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6928BD4A">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41D2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E72A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DF6EB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35FF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974A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5B66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5CB95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D75CE95">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18355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11B50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AFD188E">
            <w:pPr>
              <w:widowControl/>
              <w:jc w:val="left"/>
              <w:rPr>
                <w:rFonts w:ascii="Times New Roman" w:hAnsi="Times New Roman" w:eastAsia="仿宋_GB2312"/>
                <w:color w:val="000000"/>
                <w:kern w:val="0"/>
                <w:szCs w:val="21"/>
              </w:rPr>
            </w:pPr>
          </w:p>
          <w:p w14:paraId="7A2B06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086B911">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9D418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07FCB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18C7DD">
            <w:pPr>
              <w:widowControl/>
              <w:jc w:val="center"/>
              <w:rPr>
                <w:rFonts w:hint="eastAsia" w:hAnsi="宋体"/>
                <w:kern w:val="0"/>
                <w:sz w:val="15"/>
                <w:szCs w:val="15"/>
                <w:lang w:val="en-US" w:eastAsia="zh-CN"/>
              </w:rPr>
            </w:pPr>
            <w:r>
              <w:rPr>
                <w:rFonts w:hint="eastAsia" w:hAnsi="宋体"/>
                <w:kern w:val="0"/>
                <w:sz w:val="15"/>
                <w:szCs w:val="15"/>
                <w:lang w:val="en-US" w:eastAsia="zh-CN"/>
              </w:rPr>
              <w:t>无</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53B418">
            <w:pPr>
              <w:widowControl/>
              <w:jc w:val="center"/>
              <w:rPr>
                <w:rFonts w:hint="eastAsia" w:hAnsi="宋体"/>
                <w:kern w:val="0"/>
                <w:sz w:val="15"/>
                <w:szCs w:val="15"/>
                <w:lang w:val="en-US" w:eastAsia="zh-CN"/>
              </w:rPr>
            </w:pPr>
            <w:r>
              <w:rPr>
                <w:rFonts w:hint="eastAsia" w:hAnsi="宋体"/>
                <w:kern w:val="0"/>
                <w:sz w:val="15"/>
                <w:szCs w:val="15"/>
                <w:lang w:val="en-US" w:eastAsia="zh-CN"/>
              </w:rPr>
              <w:t>　无</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DE13D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F9E93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8024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9400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2EE89B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352B4C">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6425EF9">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5BED067">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49D5B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0855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95A18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B32E8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5A8B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652C1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858DC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0388FE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BF9A566">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97500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FE593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EC2F55C">
            <w:pPr>
              <w:widowControl/>
              <w:jc w:val="center"/>
              <w:rPr>
                <w:rFonts w:hint="eastAsia" w:hAnsi="宋体"/>
                <w:kern w:val="0"/>
                <w:sz w:val="15"/>
                <w:szCs w:val="15"/>
                <w:lang w:val="en-US" w:eastAsia="zh-CN"/>
              </w:rPr>
            </w:pPr>
            <w:r>
              <w:rPr>
                <w:rFonts w:hint="eastAsia" w:hAnsi="宋体"/>
                <w:kern w:val="0"/>
                <w:sz w:val="15"/>
                <w:szCs w:val="15"/>
                <w:lang w:val="en-US" w:eastAsia="zh-CN"/>
              </w:rPr>
              <w:t>政治生态风清气正</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5CF4A5">
            <w:pPr>
              <w:widowControl/>
              <w:jc w:val="center"/>
              <w:rPr>
                <w:rFonts w:hint="eastAsia" w:hAnsi="宋体"/>
                <w:kern w:val="0"/>
                <w:sz w:val="15"/>
                <w:szCs w:val="15"/>
                <w:lang w:val="en-US" w:eastAsia="zh-CN"/>
              </w:rPr>
            </w:pPr>
            <w:r>
              <w:rPr>
                <w:rFonts w:hint="eastAsia" w:hAnsi="宋体"/>
                <w:kern w:val="0"/>
                <w:sz w:val="15"/>
                <w:szCs w:val="15"/>
                <w:lang w:val="en-US" w:eastAsia="zh-CN"/>
              </w:rPr>
              <w:t>受理信访件数量下降5%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A9114B">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受理信访件数量下降10%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CD08B6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1FE68B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C0F7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5C2D0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AD6A28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9EED39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A8BE46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79CBABB">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56514A">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4CAC6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D824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09C0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7C8E4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A1FF5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A60A601">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F5C1C4B">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F7AE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84BB9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D8523">
            <w:pPr>
              <w:widowControl/>
              <w:jc w:val="center"/>
              <w:rPr>
                <w:rFonts w:hint="eastAsia" w:hAnsi="宋体"/>
                <w:kern w:val="0"/>
                <w:sz w:val="15"/>
                <w:szCs w:val="15"/>
                <w:lang w:val="en-US" w:eastAsia="zh-CN"/>
              </w:rPr>
            </w:pPr>
            <w:r>
              <w:rPr>
                <w:rFonts w:hint="eastAsia" w:hAnsi="宋体"/>
                <w:kern w:val="0"/>
                <w:sz w:val="15"/>
                <w:szCs w:val="15"/>
                <w:lang w:val="en-US" w:eastAsia="zh-CN"/>
              </w:rPr>
              <w:t>无</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99CA5">
            <w:pPr>
              <w:widowControl/>
              <w:jc w:val="center"/>
              <w:rPr>
                <w:rFonts w:hint="eastAsia" w:hAnsi="宋体"/>
                <w:kern w:val="0"/>
                <w:sz w:val="15"/>
                <w:szCs w:val="15"/>
                <w:lang w:val="en-US" w:eastAsia="zh-CN"/>
              </w:rPr>
            </w:pPr>
            <w:r>
              <w:rPr>
                <w:rFonts w:hint="eastAsia" w:hAnsi="宋体"/>
                <w:kern w:val="0"/>
                <w:sz w:val="15"/>
                <w:szCs w:val="15"/>
                <w:lang w:val="en-US" w:eastAsia="zh-CN"/>
              </w:rPr>
              <w:t>　无</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E8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3D2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B2553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B9FC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89399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B61D4F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2588540">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A4D612C">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C8ECDA">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4A11FB4">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5BC69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FF06C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14F69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D7605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84AEE2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BFBB121">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458559B3">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6ABC36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B1FBF">
            <w:pPr>
              <w:widowControl/>
              <w:jc w:val="center"/>
              <w:rPr>
                <w:rFonts w:hint="eastAsia" w:hAnsi="宋体"/>
                <w:kern w:val="0"/>
                <w:sz w:val="15"/>
                <w:szCs w:val="15"/>
                <w:lang w:val="en-US" w:eastAsia="zh-CN"/>
              </w:rPr>
            </w:pPr>
            <w:r>
              <w:rPr>
                <w:rFonts w:hint="eastAsia" w:hAnsi="宋体"/>
                <w:kern w:val="0"/>
                <w:sz w:val="15"/>
                <w:szCs w:val="15"/>
                <w:lang w:val="en-US" w:eastAsia="zh-CN"/>
              </w:rPr>
              <w:t>一体推进综合监督单位干部职工不敢腐、不能腐、不想腐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5F7F7">
            <w:pPr>
              <w:widowControl/>
              <w:jc w:val="center"/>
              <w:rPr>
                <w:rFonts w:hint="eastAsia" w:hAnsi="宋体"/>
                <w:kern w:val="0"/>
                <w:sz w:val="15"/>
                <w:szCs w:val="15"/>
                <w:lang w:val="en-US" w:eastAsia="zh-CN"/>
              </w:rPr>
            </w:pPr>
            <w:r>
              <w:rPr>
                <w:rFonts w:hint="eastAsia" w:hAnsi="宋体"/>
                <w:kern w:val="0"/>
                <w:sz w:val="15"/>
                <w:szCs w:val="15"/>
                <w:lang w:val="en-US" w:eastAsia="zh-CN"/>
              </w:rPr>
              <w:t>受理问题线索数量下降5%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63EFB">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受理问题线索数量下降10%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DF69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9B97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22D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73372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28DFD51">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F9221D9">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2334250A">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570F2842">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nil"/>
              <w:left w:val="nil"/>
              <w:bottom w:val="single" w:color="auto" w:sz="4" w:space="0"/>
              <w:right w:val="single" w:color="auto" w:sz="4" w:space="0"/>
            </w:tcBorders>
            <w:shd w:val="clear" w:color="auto" w:fill="auto"/>
            <w:noWrap/>
            <w:vAlign w:val="center"/>
          </w:tcPr>
          <w:p w14:paraId="33A0D4C8">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51E2FC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5915C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80B5C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505E1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C7807A">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727CF6A">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6AD5CC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83AA0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0D8FC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211AA3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6B3EF1E8">
            <w:pPr>
              <w:widowControl/>
              <w:jc w:val="center"/>
              <w:rPr>
                <w:rFonts w:hint="eastAsia" w:hAnsi="宋体"/>
                <w:kern w:val="0"/>
                <w:sz w:val="15"/>
                <w:szCs w:val="15"/>
                <w:lang w:val="en-US" w:eastAsia="zh-CN"/>
              </w:rPr>
            </w:pPr>
            <w:r>
              <w:rPr>
                <w:rFonts w:hint="eastAsia" w:hAnsi="宋体"/>
                <w:kern w:val="0"/>
                <w:sz w:val="15"/>
                <w:szCs w:val="15"/>
                <w:lang w:val="en-US" w:eastAsia="zh-CN"/>
              </w:rPr>
              <w:t>人民群众满意度</w:t>
            </w:r>
          </w:p>
        </w:tc>
        <w:tc>
          <w:tcPr>
            <w:tcW w:w="1230" w:type="dxa"/>
            <w:tcBorders>
              <w:top w:val="nil"/>
              <w:left w:val="nil"/>
              <w:bottom w:val="single" w:color="auto" w:sz="4" w:space="0"/>
              <w:right w:val="single" w:color="auto" w:sz="4" w:space="0"/>
            </w:tcBorders>
            <w:shd w:val="clear" w:color="auto" w:fill="auto"/>
            <w:noWrap/>
            <w:vAlign w:val="center"/>
          </w:tcPr>
          <w:p w14:paraId="36FEAA96">
            <w:pPr>
              <w:widowControl/>
              <w:jc w:val="center"/>
              <w:rPr>
                <w:rFonts w:hint="eastAsia" w:hAnsi="宋体"/>
                <w:kern w:val="0"/>
                <w:sz w:val="15"/>
                <w:szCs w:val="15"/>
                <w:lang w:val="en-US" w:eastAsia="zh-CN"/>
              </w:rPr>
            </w:pPr>
            <w:r>
              <w:rPr>
                <w:rFonts w:hint="eastAsia" w:hAnsi="宋体"/>
                <w:kern w:val="0"/>
                <w:sz w:val="15"/>
                <w:szCs w:val="15"/>
                <w:lang w:val="en-US" w:eastAsia="zh-CN"/>
              </w:rPr>
              <w:t>信访回复满意度提升5%</w:t>
            </w:r>
          </w:p>
        </w:tc>
        <w:tc>
          <w:tcPr>
            <w:tcW w:w="1107" w:type="dxa"/>
            <w:tcBorders>
              <w:top w:val="nil"/>
              <w:left w:val="nil"/>
              <w:bottom w:val="single" w:color="auto" w:sz="4" w:space="0"/>
              <w:right w:val="single" w:color="auto" w:sz="4" w:space="0"/>
            </w:tcBorders>
            <w:shd w:val="clear" w:color="auto" w:fill="auto"/>
            <w:noWrap/>
            <w:vAlign w:val="center"/>
          </w:tcPr>
          <w:p w14:paraId="649D6B30">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信访回复满意度提升10%</w:t>
            </w:r>
          </w:p>
        </w:tc>
        <w:tc>
          <w:tcPr>
            <w:tcW w:w="993" w:type="dxa"/>
            <w:tcBorders>
              <w:top w:val="nil"/>
              <w:left w:val="nil"/>
              <w:bottom w:val="single" w:color="auto" w:sz="4" w:space="0"/>
              <w:right w:val="single" w:color="auto" w:sz="4" w:space="0"/>
            </w:tcBorders>
            <w:shd w:val="clear" w:color="auto" w:fill="auto"/>
            <w:noWrap/>
            <w:vAlign w:val="center"/>
          </w:tcPr>
          <w:p w14:paraId="0D6976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6781B02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7E2135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F2668E">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0E619AD4">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16A53AC0">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21C9E944">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4499F1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344612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A28B4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AB942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D6BB8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7D0FA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C83BB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EF486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7A09E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BD0DE8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0FC6C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0784D19">
      <w:pPr>
        <w:spacing w:beforeLines="50"/>
        <w:rPr>
          <w:rFonts w:ascii="Times New Roman" w:hAnsi="Times New Roman" w:eastAsia="仿宋_GB2312"/>
          <w:sz w:val="24"/>
        </w:rPr>
      </w:pPr>
    </w:p>
    <w:p w14:paraId="53CEB151">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7D48D26F">
      <w:pPr>
        <w:rPr>
          <w:rFonts w:ascii="Times New Roman" w:hAnsi="Times New Roman" w:eastAsia="黑体"/>
          <w:sz w:val="32"/>
          <w:szCs w:val="32"/>
        </w:rPr>
      </w:pPr>
    </w:p>
    <w:p w14:paraId="3309DDFF">
      <w:pPr>
        <w:rPr>
          <w:rFonts w:ascii="Times New Roman" w:hAnsi="Times New Roman" w:eastAsia="黑体"/>
          <w:sz w:val="32"/>
          <w:szCs w:val="32"/>
        </w:rPr>
      </w:pPr>
    </w:p>
    <w:p w14:paraId="7F3B11CC">
      <w:pPr>
        <w:rPr>
          <w:rFonts w:ascii="Times New Roman" w:hAnsi="Times New Roman" w:eastAsia="黑体"/>
          <w:sz w:val="32"/>
          <w:szCs w:val="32"/>
        </w:rPr>
      </w:pPr>
    </w:p>
    <w:p w14:paraId="70C8FF43">
      <w:pPr>
        <w:rPr>
          <w:rFonts w:ascii="Times New Roman" w:hAnsi="Times New Roman" w:eastAsia="黑体"/>
          <w:sz w:val="32"/>
          <w:szCs w:val="32"/>
        </w:rPr>
      </w:pPr>
    </w:p>
    <w:p w14:paraId="0CB7C0BF">
      <w:pPr>
        <w:rPr>
          <w:rFonts w:ascii="Times New Roman" w:hAnsi="Times New Roman" w:eastAsia="黑体"/>
          <w:sz w:val="32"/>
          <w:szCs w:val="32"/>
        </w:rPr>
      </w:pPr>
    </w:p>
    <w:p w14:paraId="24D1EE5E">
      <w:pPr>
        <w:rPr>
          <w:rFonts w:ascii="Times New Roman" w:hAnsi="Times New Roman" w:eastAsia="黑体"/>
          <w:sz w:val="32"/>
          <w:szCs w:val="32"/>
        </w:rPr>
      </w:pPr>
    </w:p>
    <w:p w14:paraId="007ED82A">
      <w:pPr>
        <w:rPr>
          <w:rFonts w:ascii="Times New Roman" w:hAnsi="Times New Roman" w:eastAsia="黑体"/>
          <w:sz w:val="32"/>
          <w:szCs w:val="32"/>
        </w:rPr>
      </w:pPr>
    </w:p>
    <w:p w14:paraId="560D4761">
      <w:pPr>
        <w:rPr>
          <w:rFonts w:ascii="Times New Roman" w:hAnsi="Times New Roman" w:eastAsia="黑体"/>
          <w:sz w:val="32"/>
          <w:szCs w:val="32"/>
        </w:rPr>
      </w:pPr>
    </w:p>
    <w:p w14:paraId="0B153E50">
      <w:pPr>
        <w:rPr>
          <w:rFonts w:ascii="Times New Roman" w:hAnsi="Times New Roman" w:eastAsia="黑体"/>
          <w:sz w:val="32"/>
          <w:szCs w:val="32"/>
        </w:rPr>
      </w:pPr>
    </w:p>
    <w:p w14:paraId="7BD3F3ED">
      <w:pPr>
        <w:rPr>
          <w:rFonts w:ascii="Times New Roman" w:hAnsi="Times New Roman" w:eastAsia="黑体"/>
          <w:sz w:val="32"/>
          <w:szCs w:val="32"/>
        </w:rPr>
      </w:pPr>
    </w:p>
    <w:p w14:paraId="467BD7AE">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898DFB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1B1CCBD">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8A25535">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C8908AE">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775CF3DD">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F44DCF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B50B6F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30398F6">
            <w:pPr>
              <w:widowControl/>
              <w:jc w:val="center"/>
              <w:rPr>
                <w:rFonts w:ascii="Times New Roman" w:hAnsi="Times New Roman" w:eastAsia="仿宋_GB2312"/>
                <w:color w:val="000000"/>
                <w:kern w:val="0"/>
                <w:szCs w:val="21"/>
              </w:rPr>
            </w:pPr>
            <w:r>
              <w:rPr>
                <w:rFonts w:hint="eastAsia" w:hAnsi="宋体"/>
                <w:kern w:val="0"/>
                <w:sz w:val="20"/>
                <w:szCs w:val="20"/>
                <w:lang w:eastAsia="zh-CN"/>
              </w:rPr>
              <w:t>维稳专项经费</w:t>
            </w:r>
            <w:r>
              <w:rPr>
                <w:rFonts w:ascii="Times New Roman" w:hAnsi="Times New Roman" w:eastAsia="仿宋_GB2312"/>
                <w:color w:val="000000"/>
                <w:kern w:val="0"/>
                <w:szCs w:val="21"/>
              </w:rPr>
              <w:t>　</w:t>
            </w:r>
          </w:p>
        </w:tc>
      </w:tr>
      <w:tr w14:paraId="7FC9DC5D">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8217C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AE2A5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4FBB3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D6E77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FFD80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3D5C735">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247FB2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B6850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AE12C6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AB7320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0746F1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898871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3B11DEE">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64E98E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479C3BE">
            <w:pPr>
              <w:spacing w:line="240" w:lineRule="exact"/>
              <w:jc w:val="center"/>
              <w:rPr>
                <w:rFonts w:ascii="Times New Roman" w:hAnsi="Times New Roman" w:eastAsia="仿宋_GB2312"/>
                <w:szCs w:val="21"/>
              </w:rPr>
            </w:pPr>
          </w:p>
          <w:p w14:paraId="1586513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9569289">
            <w:pPr>
              <w:spacing w:line="240" w:lineRule="exact"/>
              <w:jc w:val="center"/>
              <w:rPr>
                <w:rFonts w:ascii="Times New Roman" w:hAnsi="Times New Roman" w:eastAsia="仿宋_GB2312"/>
                <w:szCs w:val="21"/>
              </w:rPr>
            </w:pPr>
          </w:p>
          <w:p w14:paraId="4B9E705D">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95DB06F">
            <w:pPr>
              <w:spacing w:line="240" w:lineRule="exact"/>
              <w:jc w:val="center"/>
              <w:rPr>
                <w:rFonts w:ascii="Times New Roman" w:hAnsi="Times New Roman" w:eastAsia="仿宋_GB2312"/>
                <w:szCs w:val="21"/>
              </w:rPr>
            </w:pPr>
          </w:p>
          <w:p w14:paraId="421E39A1">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19C97C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1E2CFD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5D6AD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34D31F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30" w:type="dxa"/>
            <w:tcBorders>
              <w:top w:val="nil"/>
              <w:left w:val="nil"/>
              <w:bottom w:val="single" w:color="auto" w:sz="4" w:space="0"/>
              <w:right w:val="single" w:color="auto" w:sz="4" w:space="0"/>
            </w:tcBorders>
            <w:shd w:val="clear" w:color="auto" w:fill="auto"/>
            <w:noWrap/>
            <w:vAlign w:val="center"/>
          </w:tcPr>
          <w:p w14:paraId="2ABC2D5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07" w:type="dxa"/>
            <w:tcBorders>
              <w:top w:val="nil"/>
              <w:left w:val="nil"/>
              <w:bottom w:val="single" w:color="auto" w:sz="4" w:space="0"/>
              <w:right w:val="single" w:color="auto" w:sz="4" w:space="0"/>
            </w:tcBorders>
            <w:shd w:val="clear" w:color="auto" w:fill="auto"/>
            <w:noWrap/>
            <w:vAlign w:val="center"/>
          </w:tcPr>
          <w:p w14:paraId="35823D9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993" w:type="dxa"/>
            <w:tcBorders>
              <w:top w:val="nil"/>
              <w:left w:val="nil"/>
              <w:bottom w:val="single" w:color="auto" w:sz="4" w:space="0"/>
              <w:right w:val="single" w:color="auto" w:sz="4" w:space="0"/>
            </w:tcBorders>
            <w:shd w:val="clear" w:color="auto" w:fill="auto"/>
            <w:noWrap/>
            <w:vAlign w:val="center"/>
          </w:tcPr>
          <w:p w14:paraId="4CA8A3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9ADC98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79BDBA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62987BD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78C5C6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B4637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1CE1D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C840B2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07" w:type="dxa"/>
            <w:tcBorders>
              <w:top w:val="nil"/>
              <w:left w:val="nil"/>
              <w:bottom w:val="single" w:color="auto" w:sz="4" w:space="0"/>
              <w:right w:val="single" w:color="auto" w:sz="4" w:space="0"/>
            </w:tcBorders>
            <w:shd w:val="clear" w:color="auto" w:fill="auto"/>
            <w:noWrap/>
            <w:vAlign w:val="center"/>
          </w:tcPr>
          <w:p w14:paraId="1BB96F3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993" w:type="dxa"/>
            <w:tcBorders>
              <w:top w:val="nil"/>
              <w:left w:val="nil"/>
              <w:bottom w:val="single" w:color="auto" w:sz="4" w:space="0"/>
              <w:right w:val="single" w:color="auto" w:sz="4" w:space="0"/>
            </w:tcBorders>
            <w:shd w:val="clear" w:color="auto" w:fill="auto"/>
            <w:noWrap/>
            <w:vAlign w:val="center"/>
          </w:tcPr>
          <w:p w14:paraId="0208CA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4C596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F54DC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7176B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FE55BC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1BC471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CCE3A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A2BB09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3333CF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56D2AE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48DD4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F12C2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229B4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C397B2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A433DD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69961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66B3B5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4F5D2F8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5BFE90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1ADA4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A4AE7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FAAC9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A698A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17950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52FF1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95FCF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8C5D00E">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A3C0703">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32196C3">
            <w:pPr>
              <w:widowControl/>
              <w:jc w:val="center"/>
              <w:rPr>
                <w:rFonts w:ascii="Times New Roman" w:hAnsi="Times New Roman" w:eastAsia="仿宋_GB2312"/>
                <w:color w:val="000000"/>
                <w:kern w:val="0"/>
                <w:szCs w:val="21"/>
              </w:rPr>
            </w:pPr>
            <w:r>
              <w:rPr>
                <w:rFonts w:hint="eastAsia" w:hAnsi="宋体"/>
                <w:kern w:val="0"/>
                <w:sz w:val="20"/>
                <w:szCs w:val="20"/>
                <w:lang w:eastAsia="zh-CN"/>
              </w:rPr>
              <w:t>分别赴指定地方完成全国、省、市两会的信访维稳值班劝返工作；完成日常及重大节日不定期的信访值班巡查工作；每天完成值班接访、信访件调研回复邮寄等办理工作、不定期赴省进京到市受理劝返工作。　</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A1CAE6">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已完成</w:t>
            </w:r>
          </w:p>
        </w:tc>
      </w:tr>
      <w:tr w14:paraId="4BCD83FA">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2DD17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318B3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89564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7C2F8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D1F5C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7D495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162167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6A58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CBA278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0EA031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50F52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F5437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78030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566CF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C0F48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8AB84F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105D88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1E3EA99">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7444AB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D16BA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F9A767C">
            <w:pPr>
              <w:widowControl/>
              <w:jc w:val="center"/>
              <w:rPr>
                <w:rFonts w:ascii="Times New Roman" w:hAnsi="Times New Roman" w:eastAsia="仿宋_GB2312"/>
                <w:color w:val="000000"/>
                <w:kern w:val="0"/>
                <w:szCs w:val="21"/>
              </w:rPr>
            </w:pPr>
          </w:p>
          <w:p w14:paraId="545FC4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BDA0D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5BB4910">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赴市到省进京零非访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EEB5BE4">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做好信访维稳值班劝返工作，实现赴市到省进京零非访。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1FE7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eastAsia="zh-CN"/>
              </w:rPr>
              <w:t>实现赴市到省进京零非访</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9C0F6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5B2B7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9F080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CDEF6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83891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51CEC08">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3D3E60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735AB6D">
            <w:pPr>
              <w:widowControl/>
              <w:spacing w:line="280" w:lineRule="exact"/>
              <w:jc w:val="center"/>
              <w:rPr>
                <w:rFonts w:hint="eastAsia" w:ascii="Calibri" w:hAnsi="宋体" w:eastAsia="宋体" w:cs="Times New Roman"/>
                <w:kern w:val="0"/>
                <w:sz w:val="15"/>
                <w:szCs w:val="15"/>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8114EF6">
            <w:pPr>
              <w:widowControl/>
              <w:spacing w:line="280" w:lineRule="exact"/>
              <w:jc w:val="center"/>
              <w:rPr>
                <w:rFonts w:hint="eastAsia" w:ascii="Calibri" w:hAnsi="宋体" w:eastAsia="宋体" w:cs="Times New Roman"/>
                <w:kern w:val="0"/>
                <w:sz w:val="15"/>
                <w:szCs w:val="15"/>
                <w:lang w:val="en-US" w:eastAsia="zh-CN" w:bidi="ar-SA"/>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F193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9434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DD469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2468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A83F5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313FDC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138F67A">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4A2ED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E838357">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完成信访维稳零非访任务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6ED2335">
            <w:pPr>
              <w:widowControl/>
              <w:jc w:val="center"/>
              <w:rPr>
                <w:rFonts w:hint="default" w:ascii="Calibri" w:hAnsi="宋体" w:eastAsia="宋体" w:cs="Times New Roman"/>
                <w:kern w:val="0"/>
                <w:sz w:val="15"/>
                <w:szCs w:val="15"/>
                <w:lang w:val="en-US" w:eastAsia="zh-CN" w:bidi="ar-SA"/>
              </w:rPr>
            </w:pPr>
            <w:r>
              <w:rPr>
                <w:rFonts w:hint="eastAsia" w:hAnsi="宋体"/>
                <w:kern w:val="0"/>
                <w:sz w:val="15"/>
                <w:szCs w:val="15"/>
                <w:lang w:eastAsia="zh-CN"/>
              </w:rPr>
              <w:t>做好信访维稳值班劝返工作，完成信访维稳零非访任务。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39FC5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eastAsia="zh-CN"/>
              </w:rPr>
              <w:t>完成信访维稳零非访任务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7CBA5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62C2D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14CA4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C6981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28E974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4F9DD65">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27CAA63">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A29DBB">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E68B51">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0BA5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5DDD2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7E378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786F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B32E3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DB78A2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D7C04F8">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6C8A3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0932D9F">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按各项任务规定的时效完成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058C060">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2021年1月至2021年12月。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31D2F79">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120FC7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5C381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CF86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959BF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D7EBC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CBB886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F2D3F3E">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865944">
            <w:pPr>
              <w:widowControl/>
              <w:spacing w:line="280" w:lineRule="exact"/>
              <w:jc w:val="center"/>
              <w:rPr>
                <w:rFonts w:hint="eastAsia" w:ascii="Calibri" w:hAnsi="宋体" w:eastAsia="宋体" w:cs="Times New Roman"/>
                <w:kern w:val="0"/>
                <w:sz w:val="15"/>
                <w:szCs w:val="15"/>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86C525">
            <w:pPr>
              <w:widowControl/>
              <w:spacing w:line="280" w:lineRule="exact"/>
              <w:jc w:val="center"/>
              <w:rPr>
                <w:rFonts w:hint="eastAsia" w:ascii="Calibri" w:hAnsi="宋体" w:eastAsia="宋体" w:cs="Times New Roman"/>
                <w:kern w:val="0"/>
                <w:sz w:val="15"/>
                <w:szCs w:val="15"/>
                <w:lang w:val="en-US" w:eastAsia="zh-CN" w:bidi="ar-SA"/>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050FC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DF56F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8CC8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7351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23A8F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56EABC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05DBD03">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7EA9E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A90BE19">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A1EAEF3">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维稳专项经费为</w:t>
            </w:r>
            <w:r>
              <w:rPr>
                <w:rFonts w:hint="eastAsia" w:hAnsi="宋体"/>
                <w:kern w:val="0"/>
                <w:sz w:val="15"/>
                <w:szCs w:val="15"/>
                <w:lang w:val="en-US" w:eastAsia="zh-CN"/>
              </w:rPr>
              <w:t>10万元，包括信访维稳日常办公经费、差旅费等。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31BA76">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未超支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29DB4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50045B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33C3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69985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0A8D07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EF6DE4">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758EDBB">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23AC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1DF6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3D4C4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CD62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B043D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00F5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47823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210805">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37B8C5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E23A0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24ED957">
            <w:pPr>
              <w:widowControl/>
              <w:jc w:val="left"/>
              <w:rPr>
                <w:rFonts w:ascii="Times New Roman" w:hAnsi="Times New Roman" w:eastAsia="仿宋_GB2312"/>
                <w:color w:val="000000"/>
                <w:kern w:val="0"/>
                <w:szCs w:val="21"/>
              </w:rPr>
            </w:pPr>
          </w:p>
          <w:p w14:paraId="4C1323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B64D2F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70449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B5458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895313">
            <w:pPr>
              <w:widowControl/>
              <w:jc w:val="center"/>
              <w:rPr>
                <w:rFonts w:hint="eastAsia" w:hAnsi="宋体"/>
                <w:kern w:val="0"/>
                <w:sz w:val="15"/>
                <w:szCs w:val="15"/>
                <w:lang w:val="en-US" w:eastAsia="zh-CN"/>
              </w:rPr>
            </w:pPr>
            <w:r>
              <w:rPr>
                <w:rFonts w:hint="eastAsia" w:hAnsi="宋体"/>
                <w:kern w:val="0"/>
                <w:sz w:val="15"/>
                <w:szCs w:val="15"/>
                <w:lang w:val="en-US" w:eastAsia="zh-CN"/>
              </w:rPr>
              <w:t>促进监管企业安心保增长、创效益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583329">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通过项目的实施，促进监管企业安心保增长、创效益。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0B61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监管企业安心保增长、创效益。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C1000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70850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DBE1C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88FD7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29EA8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D11F1A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6B072F58">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A4478A7">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3AA9BA0">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69C4D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948D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FB3DE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8036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A8697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03DE11">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6DEC7FD">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DE7C9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40C9A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2D1FA86">
            <w:pPr>
              <w:widowControl/>
              <w:jc w:val="center"/>
              <w:rPr>
                <w:rFonts w:hint="eastAsia" w:hAnsi="宋体"/>
                <w:kern w:val="0"/>
                <w:sz w:val="15"/>
                <w:szCs w:val="15"/>
                <w:lang w:val="en-US" w:eastAsia="zh-CN"/>
              </w:rPr>
            </w:pPr>
            <w:r>
              <w:rPr>
                <w:rFonts w:hint="eastAsia" w:hAnsi="宋体"/>
                <w:kern w:val="0"/>
                <w:sz w:val="15"/>
                <w:szCs w:val="15"/>
                <w:lang w:val="en-US" w:eastAsia="zh-CN"/>
              </w:rPr>
              <w:t>对国资监管企业和谐发展起促进工作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0743F28">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通过项目的实施，促进国资监管企业和谐稳定发展。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7D43A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国资监管企业和谐稳定发展。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740A2A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B164D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DDE3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5B10D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6F1942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D4AF27C">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66F344D7">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4178562">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BD174C">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7F43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5A82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7428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7E40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E94B7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FE782B">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8AEB670">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0A5A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19EC0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D1ADE">
            <w:pPr>
              <w:widowControl/>
              <w:jc w:val="center"/>
              <w:rPr>
                <w:rFonts w:hint="eastAsia" w:hAnsi="宋体"/>
                <w:kern w:val="0"/>
                <w:sz w:val="15"/>
                <w:szCs w:val="15"/>
                <w:lang w:val="en-US" w:eastAsia="zh-CN"/>
              </w:rPr>
            </w:pPr>
            <w:r>
              <w:rPr>
                <w:rFonts w:hint="eastAsia" w:hAnsi="宋体"/>
                <w:kern w:val="0"/>
                <w:sz w:val="15"/>
                <w:szCs w:val="15"/>
                <w:lang w:val="en-US" w:eastAsia="zh-CN"/>
              </w:rPr>
              <w:t>保障企业生态环境完善</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323F9">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通过项目的实施，保障企业生态环境完善。</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671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保障企业生态环境完善</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7438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B00436">
            <w:pPr>
              <w:widowControl/>
              <w:tabs>
                <w:tab w:val="left" w:pos="585"/>
              </w:tabs>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6E49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829A2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62A9A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2B805B2">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9344ABB">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3505BFC">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DA2231">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F12E8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9B125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5AD8A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D0585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BB96C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787A786">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7E751B95">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4473FD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AE27E">
            <w:pPr>
              <w:widowControl/>
              <w:jc w:val="center"/>
              <w:rPr>
                <w:rFonts w:hint="eastAsia" w:hAnsi="宋体"/>
                <w:kern w:val="0"/>
                <w:sz w:val="15"/>
                <w:szCs w:val="15"/>
                <w:lang w:val="en-US" w:eastAsia="zh-CN"/>
              </w:rPr>
            </w:pPr>
            <w:r>
              <w:rPr>
                <w:rFonts w:hint="eastAsia" w:hAnsi="宋体"/>
                <w:kern w:val="0"/>
                <w:sz w:val="15"/>
                <w:szCs w:val="15"/>
                <w:lang w:val="en-US" w:eastAsia="zh-CN"/>
              </w:rPr>
              <w:t>保障企业长期可持续发展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1642">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通过项目的实施，保障企业长期可持续发展。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02C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企业长期可持续发展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329D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A780E">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44B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3F06C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952F185">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A6AE1E7">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13AB9E25">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1B0101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2D0084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02666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E0396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835A0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DAE7D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E9F52B">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638C033">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4AD9DC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C0984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28D60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7A2D60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C7B5670">
            <w:pPr>
              <w:widowControl/>
              <w:jc w:val="center"/>
              <w:rPr>
                <w:rFonts w:hint="eastAsia" w:hAnsi="宋体"/>
                <w:kern w:val="0"/>
                <w:sz w:val="15"/>
                <w:szCs w:val="15"/>
                <w:lang w:val="en-US" w:eastAsia="zh-CN"/>
              </w:rPr>
            </w:pPr>
            <w:r>
              <w:rPr>
                <w:rFonts w:hint="eastAsia" w:hAnsi="宋体"/>
                <w:kern w:val="0"/>
                <w:sz w:val="15"/>
                <w:szCs w:val="15"/>
                <w:lang w:val="en-US" w:eastAsia="zh-CN"/>
              </w:rPr>
              <w:t xml:space="preserve">  职工群众满意度；</w:t>
            </w:r>
          </w:p>
          <w:p w14:paraId="08983AEA">
            <w:pPr>
              <w:widowControl/>
              <w:jc w:val="center"/>
              <w:rPr>
                <w:rFonts w:hint="eastAsia" w:hAnsi="宋体"/>
                <w:kern w:val="0"/>
                <w:sz w:val="15"/>
                <w:szCs w:val="15"/>
                <w:lang w:val="en-US" w:eastAsia="zh-CN"/>
              </w:rPr>
            </w:pPr>
            <w:r>
              <w:rPr>
                <w:rFonts w:hint="eastAsia" w:hAnsi="宋体"/>
                <w:kern w:val="0"/>
                <w:sz w:val="15"/>
                <w:szCs w:val="15"/>
                <w:lang w:val="en-US" w:eastAsia="zh-CN"/>
              </w:rPr>
              <w:t>企业信访投诉率</w:t>
            </w:r>
          </w:p>
        </w:tc>
        <w:tc>
          <w:tcPr>
            <w:tcW w:w="1230" w:type="dxa"/>
            <w:tcBorders>
              <w:top w:val="nil"/>
              <w:left w:val="nil"/>
              <w:bottom w:val="single" w:color="auto" w:sz="4" w:space="0"/>
              <w:right w:val="single" w:color="auto" w:sz="4" w:space="0"/>
            </w:tcBorders>
            <w:shd w:val="clear" w:color="auto" w:fill="auto"/>
            <w:noWrap/>
            <w:vAlign w:val="center"/>
          </w:tcPr>
          <w:p w14:paraId="217A134F">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通过项目的实施，力争使职工群众对国资委信访维稳满意度达到较好水平，企业信访投诉率明显降低。</w:t>
            </w:r>
          </w:p>
        </w:tc>
        <w:tc>
          <w:tcPr>
            <w:tcW w:w="1107" w:type="dxa"/>
            <w:tcBorders>
              <w:top w:val="nil"/>
              <w:left w:val="nil"/>
              <w:bottom w:val="single" w:color="auto" w:sz="4" w:space="0"/>
              <w:right w:val="single" w:color="auto" w:sz="4" w:space="0"/>
            </w:tcBorders>
            <w:shd w:val="clear" w:color="auto" w:fill="auto"/>
            <w:noWrap/>
            <w:vAlign w:val="center"/>
          </w:tcPr>
          <w:p w14:paraId="61B329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信访维稳满意度达到较好水平，企业信访投诉率明显降低</w:t>
            </w:r>
          </w:p>
        </w:tc>
        <w:tc>
          <w:tcPr>
            <w:tcW w:w="993" w:type="dxa"/>
            <w:tcBorders>
              <w:top w:val="nil"/>
              <w:left w:val="nil"/>
              <w:bottom w:val="single" w:color="auto" w:sz="4" w:space="0"/>
              <w:right w:val="single" w:color="auto" w:sz="4" w:space="0"/>
            </w:tcBorders>
            <w:shd w:val="clear" w:color="auto" w:fill="auto"/>
            <w:noWrap/>
            <w:vAlign w:val="center"/>
          </w:tcPr>
          <w:p w14:paraId="7EDB49D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B8D559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22066C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CB07CF">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363DAEE0">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65DA6A2D">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567DD8C0">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1DFBA4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727E31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5DAF6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C3B8B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F9F3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7A4A7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ACBB8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B93BE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64610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D92E46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BE231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16D54EA">
      <w:pPr>
        <w:spacing w:beforeLines="50"/>
        <w:rPr>
          <w:rFonts w:ascii="Times New Roman" w:hAnsi="Times New Roman" w:eastAsia="仿宋_GB2312"/>
          <w:sz w:val="24"/>
        </w:rPr>
      </w:pPr>
    </w:p>
    <w:p w14:paraId="6C1A9BF2">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4FB07AA2">
      <w:pPr>
        <w:rPr>
          <w:rFonts w:ascii="Times New Roman" w:hAnsi="Times New Roman" w:eastAsia="黑体"/>
          <w:sz w:val="32"/>
          <w:szCs w:val="32"/>
        </w:rPr>
      </w:pPr>
    </w:p>
    <w:p w14:paraId="5E3437B9">
      <w:pPr>
        <w:rPr>
          <w:rFonts w:ascii="Times New Roman" w:hAnsi="Times New Roman" w:eastAsia="黑体"/>
          <w:sz w:val="32"/>
          <w:szCs w:val="32"/>
        </w:rPr>
      </w:pPr>
    </w:p>
    <w:p w14:paraId="34823ECE">
      <w:pPr>
        <w:pStyle w:val="2"/>
        <w:rPr>
          <w:rFonts w:ascii="Times New Roman" w:hAnsi="Times New Roman" w:eastAsia="黑体"/>
          <w:sz w:val="32"/>
          <w:szCs w:val="32"/>
        </w:rPr>
      </w:pPr>
    </w:p>
    <w:p w14:paraId="502DF99C">
      <w:pPr>
        <w:pStyle w:val="2"/>
        <w:rPr>
          <w:rFonts w:ascii="Times New Roman" w:hAnsi="Times New Roman" w:eastAsia="黑体"/>
          <w:sz w:val="32"/>
          <w:szCs w:val="32"/>
        </w:rPr>
      </w:pPr>
    </w:p>
    <w:p w14:paraId="7CCD6D0C">
      <w:pPr>
        <w:pStyle w:val="2"/>
        <w:rPr>
          <w:rFonts w:ascii="Times New Roman" w:hAnsi="Times New Roman" w:eastAsia="黑体"/>
          <w:sz w:val="32"/>
          <w:szCs w:val="32"/>
        </w:rPr>
      </w:pPr>
    </w:p>
    <w:p w14:paraId="1F33645F">
      <w:pPr>
        <w:pStyle w:val="2"/>
        <w:rPr>
          <w:rFonts w:ascii="Times New Roman" w:hAnsi="Times New Roman" w:eastAsia="黑体"/>
          <w:sz w:val="32"/>
          <w:szCs w:val="32"/>
        </w:rPr>
      </w:pPr>
    </w:p>
    <w:p w14:paraId="6EAEB742">
      <w:pPr>
        <w:rPr>
          <w:rFonts w:ascii="Times New Roman" w:hAnsi="Times New Roman" w:eastAsia="黑体"/>
          <w:sz w:val="32"/>
          <w:szCs w:val="32"/>
        </w:rPr>
      </w:pPr>
    </w:p>
    <w:p w14:paraId="4DECFC9A">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1DF44B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7C7263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15A7D2D">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F0BDAF9">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7B1AA9E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4752DB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3B7E1C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48608E0">
            <w:pPr>
              <w:widowControl/>
              <w:jc w:val="center"/>
              <w:rPr>
                <w:rFonts w:ascii="Times New Roman" w:hAnsi="Times New Roman" w:eastAsia="仿宋_GB2312"/>
                <w:color w:val="000000"/>
                <w:kern w:val="0"/>
                <w:szCs w:val="21"/>
              </w:rPr>
            </w:pPr>
            <w:r>
              <w:rPr>
                <w:rFonts w:hint="eastAsia" w:hAnsi="宋体"/>
                <w:kern w:val="0"/>
                <w:sz w:val="20"/>
                <w:szCs w:val="20"/>
                <w:lang w:eastAsia="zh-CN"/>
              </w:rPr>
              <w:t>国企改革工作经费</w:t>
            </w:r>
            <w:r>
              <w:rPr>
                <w:rFonts w:hAnsi="宋体"/>
                <w:kern w:val="0"/>
                <w:sz w:val="20"/>
                <w:szCs w:val="20"/>
              </w:rPr>
              <w:t>　</w:t>
            </w:r>
            <w:r>
              <w:rPr>
                <w:rFonts w:ascii="Times New Roman" w:hAnsi="Times New Roman" w:eastAsia="仿宋_GB2312"/>
                <w:color w:val="000000"/>
                <w:kern w:val="0"/>
                <w:szCs w:val="21"/>
              </w:rPr>
              <w:t>　</w:t>
            </w:r>
          </w:p>
        </w:tc>
      </w:tr>
      <w:tr w14:paraId="1AB64A2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AF2A6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EAB6B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E5082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A066C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351778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71B1BFF">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49BF33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44498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5C53DD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68066E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5E27D9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D3448F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21C91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0E84972">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BB53BB9">
            <w:pPr>
              <w:spacing w:line="240" w:lineRule="exact"/>
              <w:jc w:val="center"/>
              <w:rPr>
                <w:rFonts w:ascii="Times New Roman" w:hAnsi="Times New Roman" w:eastAsia="仿宋_GB2312"/>
                <w:szCs w:val="21"/>
              </w:rPr>
            </w:pPr>
          </w:p>
          <w:p w14:paraId="2E24B88A">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1739AB0">
            <w:pPr>
              <w:spacing w:line="240" w:lineRule="exact"/>
              <w:jc w:val="center"/>
              <w:rPr>
                <w:rFonts w:ascii="Times New Roman" w:hAnsi="Times New Roman" w:eastAsia="仿宋_GB2312"/>
                <w:szCs w:val="21"/>
              </w:rPr>
            </w:pPr>
          </w:p>
          <w:p w14:paraId="4D52FEE4">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FD007C4">
            <w:pPr>
              <w:spacing w:line="240" w:lineRule="exact"/>
              <w:jc w:val="center"/>
              <w:rPr>
                <w:rFonts w:ascii="Times New Roman" w:hAnsi="Times New Roman" w:eastAsia="仿宋_GB2312"/>
                <w:szCs w:val="21"/>
              </w:rPr>
            </w:pPr>
          </w:p>
          <w:p w14:paraId="405E6221">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4AE757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7E3FC4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93AAC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670A8F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230" w:type="dxa"/>
            <w:tcBorders>
              <w:top w:val="nil"/>
              <w:left w:val="nil"/>
              <w:bottom w:val="single" w:color="auto" w:sz="4" w:space="0"/>
              <w:right w:val="single" w:color="auto" w:sz="4" w:space="0"/>
            </w:tcBorders>
            <w:shd w:val="clear" w:color="auto" w:fill="auto"/>
            <w:noWrap/>
            <w:vAlign w:val="center"/>
          </w:tcPr>
          <w:p w14:paraId="23A219E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107" w:type="dxa"/>
            <w:tcBorders>
              <w:top w:val="nil"/>
              <w:left w:val="nil"/>
              <w:bottom w:val="single" w:color="auto" w:sz="4" w:space="0"/>
              <w:right w:val="single" w:color="auto" w:sz="4" w:space="0"/>
            </w:tcBorders>
            <w:shd w:val="clear" w:color="auto" w:fill="auto"/>
            <w:noWrap/>
            <w:vAlign w:val="center"/>
          </w:tcPr>
          <w:p w14:paraId="13ABB1F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993" w:type="dxa"/>
            <w:tcBorders>
              <w:top w:val="nil"/>
              <w:left w:val="nil"/>
              <w:bottom w:val="single" w:color="auto" w:sz="4" w:space="0"/>
              <w:right w:val="single" w:color="auto" w:sz="4" w:space="0"/>
            </w:tcBorders>
            <w:shd w:val="clear" w:color="auto" w:fill="auto"/>
            <w:noWrap/>
            <w:vAlign w:val="center"/>
          </w:tcPr>
          <w:p w14:paraId="747331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36C1E1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10112E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1F15949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4AC24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67403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3D0A7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8BC1F21">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107" w:type="dxa"/>
            <w:tcBorders>
              <w:top w:val="nil"/>
              <w:left w:val="nil"/>
              <w:bottom w:val="single" w:color="auto" w:sz="4" w:space="0"/>
              <w:right w:val="single" w:color="auto" w:sz="4" w:space="0"/>
            </w:tcBorders>
            <w:shd w:val="clear" w:color="auto" w:fill="auto"/>
            <w:noWrap/>
            <w:vAlign w:val="center"/>
          </w:tcPr>
          <w:p w14:paraId="7A498B0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993" w:type="dxa"/>
            <w:tcBorders>
              <w:top w:val="nil"/>
              <w:left w:val="nil"/>
              <w:bottom w:val="single" w:color="auto" w:sz="4" w:space="0"/>
              <w:right w:val="single" w:color="auto" w:sz="4" w:space="0"/>
            </w:tcBorders>
            <w:shd w:val="clear" w:color="auto" w:fill="auto"/>
            <w:noWrap/>
            <w:vAlign w:val="center"/>
          </w:tcPr>
          <w:p w14:paraId="61012A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3B422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019C8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F7C87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6A5AC3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891EB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B3F00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FDCEAF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6D32A94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198A3A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1CE3A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8D512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6CE57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13E5D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6CBD4C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62495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11D8D6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077B8A3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380763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641C7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23E0B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9A3B2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4121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E0A2D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5AD1E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E8599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1C2AAC4">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A6BBFD3">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CD2CB1B">
            <w:pPr>
              <w:widowControl/>
              <w:jc w:val="center"/>
              <w:rPr>
                <w:rFonts w:ascii="Times New Roman" w:hAnsi="Times New Roman" w:eastAsia="仿宋_GB2312"/>
                <w:color w:val="000000"/>
                <w:kern w:val="0"/>
                <w:szCs w:val="21"/>
              </w:rPr>
            </w:pPr>
            <w:r>
              <w:rPr>
                <w:rFonts w:hint="eastAsia" w:hAnsi="宋体"/>
                <w:kern w:val="0"/>
                <w:sz w:val="20"/>
                <w:szCs w:val="20"/>
                <w:lang w:eastAsia="zh-CN"/>
              </w:rPr>
              <w:t>按照中央、省市关于国企改革三年行动的决策部署，扎实推进各项改革任务落地见效。</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04C7F43">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各项改革任务已落实</w:t>
            </w:r>
          </w:p>
        </w:tc>
      </w:tr>
      <w:tr w14:paraId="347AD6EC">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B2F19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9FAE5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ABD1F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C51BE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30F521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7D929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1128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268EE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334D9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3C69E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ADBEB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78FAE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175AB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B4A4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62081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4FB07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BB2F48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FC1488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FFFD4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5F783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91A4075">
            <w:pPr>
              <w:widowControl/>
              <w:jc w:val="center"/>
              <w:rPr>
                <w:rFonts w:ascii="Times New Roman" w:hAnsi="Times New Roman" w:eastAsia="仿宋_GB2312"/>
                <w:color w:val="000000"/>
                <w:kern w:val="0"/>
                <w:szCs w:val="21"/>
              </w:rPr>
            </w:pPr>
          </w:p>
          <w:p w14:paraId="35BEDC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10F96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1B4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kern w:val="0"/>
                <w:sz w:val="15"/>
                <w:szCs w:val="15"/>
                <w:lang w:val="en-US" w:eastAsia="zh-CN" w:bidi="ar-SA"/>
              </w:rPr>
            </w:pPr>
            <w:r>
              <w:rPr>
                <w:rFonts w:hint="eastAsia"/>
                <w:kern w:val="0"/>
                <w:sz w:val="15"/>
                <w:szCs w:val="15"/>
                <w:lang w:eastAsia="zh-CN"/>
              </w:rPr>
              <w:t>国企改革三年行动方案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C7C15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kern w:val="0"/>
                <w:sz w:val="15"/>
                <w:szCs w:val="15"/>
                <w:lang w:eastAsia="zh-CN"/>
              </w:rPr>
              <w:t>通过项目的实施，力争使国企改革三年行动方案中</w:t>
            </w:r>
            <w:r>
              <w:rPr>
                <w:rFonts w:hint="eastAsia"/>
                <w:kern w:val="0"/>
                <w:sz w:val="15"/>
                <w:szCs w:val="15"/>
                <w:lang w:val="en-US" w:eastAsia="zh-CN"/>
              </w:rPr>
              <w:t>68项具体改革事项</w:t>
            </w:r>
            <w:r>
              <w:rPr>
                <w:rFonts w:hint="eastAsia"/>
                <w:kern w:val="0"/>
                <w:sz w:val="15"/>
                <w:szCs w:val="15"/>
                <w:lang w:eastAsia="zh-CN"/>
              </w:rPr>
              <w:t>完成率达到</w:t>
            </w:r>
            <w:r>
              <w:rPr>
                <w:rFonts w:hint="eastAsia"/>
                <w:kern w:val="0"/>
                <w:sz w:val="15"/>
                <w:szCs w:val="15"/>
                <w:lang w:val="en-US" w:eastAsia="zh-CN"/>
              </w:rPr>
              <w:t>70%。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73CD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kern w:val="0"/>
                <w:sz w:val="15"/>
                <w:szCs w:val="15"/>
                <w:lang w:val="en-US" w:eastAsia="zh-CN"/>
              </w:rPr>
              <w:t>68项具体改革事项</w:t>
            </w:r>
            <w:r>
              <w:rPr>
                <w:rFonts w:hint="eastAsia"/>
                <w:kern w:val="0"/>
                <w:sz w:val="15"/>
                <w:szCs w:val="15"/>
                <w:lang w:eastAsia="zh-CN"/>
              </w:rPr>
              <w:t>完成率达到</w:t>
            </w:r>
            <w:r>
              <w:rPr>
                <w:rFonts w:hint="eastAsia"/>
                <w:kern w:val="0"/>
                <w:sz w:val="15"/>
                <w:szCs w:val="15"/>
                <w:lang w:val="en-US" w:eastAsia="zh-CN"/>
              </w:rPr>
              <w:t>80%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B8DB45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C33B13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BB323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ED12B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3AD21E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1CF204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CE5FFC3">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7694E71">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0EAFB86">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21ECC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CE67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CB34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01157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2DE6B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FB196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1BFDDE0">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49097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84230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ascii="宋体" w:hAnsi="宋体" w:cs="宋体"/>
                <w:kern w:val="0"/>
                <w:sz w:val="15"/>
                <w:szCs w:val="15"/>
                <w:lang w:eastAsia="zh-CN"/>
              </w:rPr>
              <w:t>深化国企改革，指导建立现代化企业制度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361F1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Calibri" w:hAnsi="Calibri" w:eastAsia="仿宋_GB2312" w:cs="Times New Roman"/>
                <w:kern w:val="0"/>
                <w:sz w:val="15"/>
                <w:szCs w:val="15"/>
                <w:lang w:val="en-US" w:eastAsia="zh-CN" w:bidi="ar-SA"/>
              </w:rPr>
            </w:pPr>
            <w:r>
              <w:rPr>
                <w:rFonts w:hint="eastAsia" w:hAnsi="宋体"/>
                <w:kern w:val="0"/>
                <w:sz w:val="15"/>
                <w:szCs w:val="15"/>
                <w:lang w:val="en-US" w:eastAsia="zh-CN"/>
              </w:rPr>
              <w:t>截至2021年底，指导6家企业完成章程修订工作。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FD2C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完成6家企业完成章程修订工作。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D80635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9B861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9B1A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361D4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E6DE6C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BBF53B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285CE96">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687B84">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D0E78E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ABFB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BC8CE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A2904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85AE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371A6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1D35D6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0A67532">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18178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9C5C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Calibri" w:hAnsi="Calibri" w:eastAsia="宋体" w:cs="Times New Roman"/>
                <w:kern w:val="0"/>
                <w:sz w:val="15"/>
                <w:szCs w:val="15"/>
                <w:lang w:val="en-US" w:eastAsia="zh-CN" w:bidi="ar-SA"/>
              </w:rPr>
            </w:pPr>
            <w:r>
              <w:rPr>
                <w:rFonts w:hint="eastAsia" w:ascii="宋体" w:hAnsi="宋体" w:cs="宋体"/>
                <w:kern w:val="0"/>
                <w:sz w:val="15"/>
                <w:szCs w:val="15"/>
                <w:lang w:eastAsia="zh-CN"/>
              </w:rPr>
              <w:t>按各项任务规定的时限完成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45E46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val="en-US" w:eastAsia="zh-CN"/>
              </w:rPr>
              <w:t>2021年12月底前完成。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B87EAB6">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28470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5E9C88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C488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B0588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2E5D12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FD13B9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CBF36B1">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27FDA5">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FC6A9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AD85C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7F47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6B0E2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7905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C4A9E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5A565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077F8C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03637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9DC18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E395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eastAsia="zh-CN"/>
              </w:rPr>
              <w:t>国企改革工作经费为</w:t>
            </w:r>
            <w:r>
              <w:rPr>
                <w:rFonts w:hint="eastAsia" w:hAnsi="宋体"/>
                <w:kern w:val="0"/>
                <w:sz w:val="15"/>
                <w:szCs w:val="15"/>
                <w:lang w:val="en-US" w:eastAsia="zh-CN"/>
              </w:rPr>
              <w:t>10万元，包括国企改革日常办公经费、差旅费等。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9ED1E94">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达标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1F2E14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856074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25D2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4890D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C8A510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0862692">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11DB2D2">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D0A8F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C080D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D12D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16B07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9FF6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543E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B5418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78A9F9">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BB7BF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5DB03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D1D0366">
            <w:pPr>
              <w:widowControl/>
              <w:jc w:val="left"/>
              <w:rPr>
                <w:rFonts w:ascii="Times New Roman" w:hAnsi="Times New Roman" w:eastAsia="仿宋_GB2312"/>
                <w:color w:val="000000"/>
                <w:kern w:val="0"/>
                <w:szCs w:val="21"/>
              </w:rPr>
            </w:pPr>
          </w:p>
          <w:p w14:paraId="60BC49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1452B6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3FC44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AE987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B2B48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核心竞争力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B2E76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提升国企活力和效率，将国企打造成具有核心竞争力的市场主体。</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23AE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国企成为具有核心竞争力的市场主体。</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86B83C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FD7F9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3974A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01568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0DDD6C">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1CA6369">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17E00F2">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83D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B653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415A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68B8F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40CE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4B01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97A9A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3E39B0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3F0AAA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14BF7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36BD9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3E864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引导国企注重社会效益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2C2A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通过对监管企业实施分类考核，鼓励企业积极承担社会责任。</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3A0C0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国企承担社会责任。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6BC84A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45A32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06FF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FCFC3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F1332A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FF9FCA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109AAFB">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D606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EA977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FD8D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8461F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1A81B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E435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BD86E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99330B">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07A7ADA">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6EDC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F7EEA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8F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加强国企生态环境保护</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C6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督促监管企业强化生态环境保护、污染治理的各项措施，将生态环境保护工作纳入企业负责人经营业绩考核，严格奖惩。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0C4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生态环境保护工作纳入企业负责人经营业绩考核，严格奖惩。</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E76B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9126C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1CF6E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E775E0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246C436">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B351E6A">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10BD8FC">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E913C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59EC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0B267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ACF74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EB205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57497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8251A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53618CE">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3534F53E">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521861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E7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06D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体现政策导向，保障国资委各项工作平稳进行、可持续发展。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A56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各项工作平稳进行、可持续发展。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A9D7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99B9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497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37DC5C">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7C1BCF1">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5F80699C">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140575D4">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05AFD9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nil"/>
              <w:left w:val="nil"/>
              <w:bottom w:val="single" w:color="auto" w:sz="4" w:space="0"/>
              <w:right w:val="single" w:color="auto" w:sz="4" w:space="0"/>
            </w:tcBorders>
            <w:shd w:val="clear" w:color="auto" w:fill="auto"/>
            <w:noWrap/>
            <w:vAlign w:val="center"/>
          </w:tcPr>
          <w:p w14:paraId="5F124F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0B9008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413AD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B345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E8217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3F4FF3B">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10A4040">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596C86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B7D94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B17BD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651F47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CCA9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国有企业满意度</w:t>
            </w:r>
          </w:p>
        </w:tc>
        <w:tc>
          <w:tcPr>
            <w:tcW w:w="1230" w:type="dxa"/>
            <w:tcBorders>
              <w:top w:val="nil"/>
              <w:left w:val="nil"/>
              <w:bottom w:val="single" w:color="auto" w:sz="4" w:space="0"/>
              <w:right w:val="single" w:color="auto" w:sz="4" w:space="0"/>
            </w:tcBorders>
            <w:shd w:val="clear" w:color="auto" w:fill="auto"/>
            <w:noWrap/>
            <w:vAlign w:val="center"/>
          </w:tcPr>
          <w:p w14:paraId="4AB2C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通过项目的实施，力争使监管企业对项目实施的满意度达到较好水平。</w:t>
            </w:r>
          </w:p>
        </w:tc>
        <w:tc>
          <w:tcPr>
            <w:tcW w:w="1107" w:type="dxa"/>
            <w:tcBorders>
              <w:top w:val="nil"/>
              <w:left w:val="nil"/>
              <w:bottom w:val="single" w:color="auto" w:sz="4" w:space="0"/>
              <w:right w:val="single" w:color="auto" w:sz="4" w:space="0"/>
            </w:tcBorders>
            <w:shd w:val="clear" w:color="auto" w:fill="auto"/>
            <w:noWrap/>
            <w:vAlign w:val="center"/>
          </w:tcPr>
          <w:p w14:paraId="0F7BC2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满意度达到较好水平</w:t>
            </w:r>
          </w:p>
        </w:tc>
        <w:tc>
          <w:tcPr>
            <w:tcW w:w="993" w:type="dxa"/>
            <w:tcBorders>
              <w:top w:val="nil"/>
              <w:left w:val="nil"/>
              <w:bottom w:val="single" w:color="auto" w:sz="4" w:space="0"/>
              <w:right w:val="single" w:color="auto" w:sz="4" w:space="0"/>
            </w:tcBorders>
            <w:shd w:val="clear" w:color="auto" w:fill="auto"/>
            <w:noWrap/>
            <w:vAlign w:val="center"/>
          </w:tcPr>
          <w:p w14:paraId="7F2F137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2AF4543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F88A2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087A13">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6AA04993">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610D92AD">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633EF50F">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6E3460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39C59D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E0504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D61DA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0DD8D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793CF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B19AE3">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F87CE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7EE07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A1C071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3CD34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41388A6">
      <w:pPr>
        <w:spacing w:beforeLines="50"/>
        <w:rPr>
          <w:rFonts w:ascii="Times New Roman" w:hAnsi="Times New Roman" w:eastAsia="仿宋_GB2312"/>
          <w:sz w:val="24"/>
        </w:rPr>
      </w:pPr>
    </w:p>
    <w:p w14:paraId="4D4AF674">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7E6F0634">
      <w:pPr>
        <w:widowControl/>
        <w:spacing w:line="600" w:lineRule="exact"/>
        <w:jc w:val="left"/>
        <w:rPr>
          <w:rFonts w:ascii="Times New Roman" w:hAnsi="Times New Roman" w:eastAsia="黑体"/>
          <w:sz w:val="32"/>
          <w:szCs w:val="32"/>
        </w:rPr>
      </w:pPr>
    </w:p>
    <w:p w14:paraId="5D36E65A">
      <w:pPr>
        <w:widowControl/>
        <w:spacing w:line="600" w:lineRule="exact"/>
        <w:jc w:val="left"/>
        <w:rPr>
          <w:rFonts w:ascii="Times New Roman" w:hAnsi="Times New Roman" w:eastAsia="黑体"/>
          <w:sz w:val="32"/>
          <w:szCs w:val="32"/>
        </w:rPr>
      </w:pPr>
    </w:p>
    <w:p w14:paraId="7AAC0407">
      <w:pPr>
        <w:widowControl/>
        <w:spacing w:line="600" w:lineRule="exact"/>
        <w:jc w:val="left"/>
        <w:rPr>
          <w:rFonts w:ascii="Times New Roman" w:hAnsi="Times New Roman" w:eastAsia="黑体"/>
          <w:sz w:val="32"/>
          <w:szCs w:val="32"/>
        </w:rPr>
      </w:pPr>
    </w:p>
    <w:p w14:paraId="4FE44852">
      <w:pPr>
        <w:widowControl/>
        <w:spacing w:line="600" w:lineRule="exact"/>
        <w:jc w:val="left"/>
        <w:rPr>
          <w:rFonts w:ascii="Times New Roman" w:hAnsi="Times New Roman" w:eastAsia="黑体"/>
          <w:sz w:val="32"/>
          <w:szCs w:val="32"/>
        </w:rPr>
      </w:pPr>
      <w:r>
        <w:rPr>
          <w:rFonts w:ascii="Times New Roman" w:hAnsi="Times New Roman" w:eastAsia="黑体"/>
          <w:sz w:val="32"/>
          <w:szCs w:val="32"/>
        </w:rPr>
        <w:t>附件5</w:t>
      </w:r>
    </w:p>
    <w:p w14:paraId="16FECCD0">
      <w:pPr>
        <w:jc w:val="center"/>
        <w:rPr>
          <w:rFonts w:ascii="Times New Roman" w:hAnsi="Times New Roman" w:eastAsia="方正小标宋简体"/>
          <w:sz w:val="48"/>
          <w:szCs w:val="48"/>
        </w:rPr>
      </w:pPr>
      <w:r>
        <w:rPr>
          <w:rFonts w:hint="eastAsia" w:ascii="Times New Roman" w:hAnsi="Times New Roman" w:eastAsia="方正小标宋简体"/>
          <w:sz w:val="48"/>
          <w:szCs w:val="48"/>
          <w:lang w:val="en-US" w:eastAsia="zh-CN"/>
        </w:rPr>
        <w:t>项目</w:t>
      </w:r>
      <w:r>
        <w:rPr>
          <w:rFonts w:ascii="Times New Roman" w:hAnsi="Times New Roman" w:eastAsia="方正小标宋简体"/>
          <w:sz w:val="48"/>
          <w:szCs w:val="48"/>
        </w:rPr>
        <w:t>支出绩效自评报告</w:t>
      </w:r>
    </w:p>
    <w:p w14:paraId="0F4B7AE0">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64DE4734">
      <w:pPr>
        <w:jc w:val="center"/>
        <w:rPr>
          <w:rFonts w:ascii="Times New Roman" w:hAnsi="Times New Roman" w:eastAsia="黑体"/>
          <w:sz w:val="32"/>
          <w:szCs w:val="32"/>
        </w:rPr>
      </w:pPr>
    </w:p>
    <w:p w14:paraId="26C2CEA8">
      <w:pPr>
        <w:jc w:val="center"/>
        <w:rPr>
          <w:rFonts w:ascii="Times New Roman" w:hAnsi="Times New Roman" w:eastAsia="黑体"/>
          <w:sz w:val="32"/>
          <w:szCs w:val="32"/>
        </w:rPr>
      </w:pPr>
    </w:p>
    <w:p w14:paraId="0F3FD06B">
      <w:pPr>
        <w:jc w:val="center"/>
        <w:rPr>
          <w:rFonts w:ascii="Times New Roman" w:hAnsi="Times New Roman" w:eastAsia="黑体"/>
          <w:sz w:val="32"/>
          <w:szCs w:val="32"/>
        </w:rPr>
      </w:pPr>
    </w:p>
    <w:p w14:paraId="0E6E950D">
      <w:pPr>
        <w:jc w:val="center"/>
        <w:rPr>
          <w:rFonts w:ascii="Times New Roman" w:hAnsi="Times New Roman" w:eastAsia="黑体"/>
          <w:sz w:val="32"/>
          <w:szCs w:val="32"/>
        </w:rPr>
      </w:pPr>
    </w:p>
    <w:p w14:paraId="143122B5">
      <w:pPr>
        <w:rPr>
          <w:rFonts w:ascii="Times New Roman" w:hAnsi="Times New Roman" w:eastAsia="黑体"/>
          <w:sz w:val="32"/>
          <w:szCs w:val="32"/>
        </w:rPr>
      </w:pPr>
    </w:p>
    <w:p w14:paraId="4DB0BDCB">
      <w:pPr>
        <w:jc w:val="center"/>
        <w:rPr>
          <w:rFonts w:ascii="Times New Roman" w:hAnsi="Times New Roman"/>
          <w:sz w:val="36"/>
          <w:szCs w:val="36"/>
        </w:rPr>
      </w:pPr>
    </w:p>
    <w:p w14:paraId="3E0BD93F">
      <w:pPr>
        <w:jc w:val="center"/>
        <w:rPr>
          <w:rFonts w:ascii="Times New Roman" w:hAnsi="Times New Roman"/>
          <w:sz w:val="36"/>
          <w:szCs w:val="36"/>
        </w:rPr>
      </w:pPr>
    </w:p>
    <w:p w14:paraId="5EA5338B">
      <w:pPr>
        <w:jc w:val="center"/>
        <w:rPr>
          <w:rFonts w:ascii="Times New Roman" w:hAnsi="Times New Roman"/>
          <w:sz w:val="36"/>
          <w:szCs w:val="36"/>
        </w:rPr>
      </w:pPr>
    </w:p>
    <w:p w14:paraId="4CDCBFB3">
      <w:pPr>
        <w:jc w:val="center"/>
        <w:rPr>
          <w:rFonts w:ascii="Times New Roman" w:hAnsi="Times New Roman"/>
          <w:sz w:val="36"/>
          <w:szCs w:val="36"/>
        </w:rPr>
      </w:pPr>
    </w:p>
    <w:p w14:paraId="4B820122">
      <w:pPr>
        <w:jc w:val="center"/>
        <w:rPr>
          <w:rFonts w:ascii="Times New Roman" w:hAnsi="Times New Roman"/>
          <w:sz w:val="36"/>
          <w:szCs w:val="36"/>
        </w:rPr>
      </w:pPr>
    </w:p>
    <w:p w14:paraId="6B099B11">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29D13088">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7BA36A0F">
      <w:pPr>
        <w:jc w:val="center"/>
        <w:rPr>
          <w:rFonts w:ascii="Times New Roman" w:hAnsi="Times New Roman" w:eastAsia="黑体"/>
          <w:sz w:val="36"/>
          <w:szCs w:val="36"/>
        </w:rPr>
      </w:pPr>
    </w:p>
    <w:p w14:paraId="774513D6">
      <w:pPr>
        <w:ind w:firstLine="2240" w:firstLineChars="700"/>
        <w:jc w:val="both"/>
        <w:rPr>
          <w:rFonts w:ascii="Times New Roman" w:hAnsi="Times New Roman" w:eastAsia="黑体"/>
          <w:sz w:val="32"/>
          <w:szCs w:val="32"/>
        </w:rPr>
      </w:pPr>
      <w:r>
        <w:rPr>
          <w:rFonts w:hint="eastAsia" w:ascii="Times New Roman" w:hAnsi="Times New Roman" w:eastAsia="黑体"/>
          <w:sz w:val="32"/>
          <w:szCs w:val="32"/>
          <w:lang w:val="en-US" w:eastAsia="zh-CN"/>
        </w:rPr>
        <w:t>2022</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 xml:space="preserve"> 3</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 xml:space="preserve"> 27 </w:t>
      </w:r>
      <w:r>
        <w:rPr>
          <w:rFonts w:ascii="Times New Roman" w:hAnsi="Times New Roman" w:eastAsia="黑体"/>
          <w:sz w:val="32"/>
          <w:szCs w:val="32"/>
        </w:rPr>
        <w:t>日</w:t>
      </w:r>
    </w:p>
    <w:p w14:paraId="3D3BFBB0">
      <w:pPr>
        <w:jc w:val="center"/>
        <w:rPr>
          <w:rFonts w:ascii="Times New Roman" w:hAnsi="Times New Roman" w:eastAsia="黑体"/>
          <w:sz w:val="32"/>
          <w:szCs w:val="32"/>
        </w:rPr>
      </w:pPr>
    </w:p>
    <w:p w14:paraId="028318E5">
      <w:pPr>
        <w:spacing w:line="600" w:lineRule="exact"/>
        <w:jc w:val="center"/>
        <w:rPr>
          <w:rFonts w:ascii="Times New Roman" w:hAnsi="Times New Roman" w:eastAsia="方正小标宋_GBK"/>
          <w:sz w:val="36"/>
          <w:szCs w:val="36"/>
        </w:rPr>
      </w:pPr>
    </w:p>
    <w:p w14:paraId="7143B61A">
      <w:pPr>
        <w:spacing w:line="600" w:lineRule="exact"/>
        <w:jc w:val="center"/>
        <w:rPr>
          <w:rFonts w:ascii="Times New Roman" w:hAnsi="Times New Roman" w:eastAsia="方正小标宋_GBK"/>
          <w:sz w:val="36"/>
          <w:szCs w:val="36"/>
        </w:rPr>
      </w:pPr>
    </w:p>
    <w:p w14:paraId="2AD20E74">
      <w:pPr>
        <w:spacing w:line="600" w:lineRule="exact"/>
        <w:jc w:val="center"/>
        <w:rPr>
          <w:rFonts w:ascii="Times New Roman" w:hAnsi="Times New Roman" w:eastAsia="方正小标宋_GBK"/>
          <w:sz w:val="36"/>
          <w:szCs w:val="36"/>
        </w:rPr>
      </w:pPr>
    </w:p>
    <w:p w14:paraId="21E8D1B2">
      <w:pPr>
        <w:spacing w:line="600" w:lineRule="exact"/>
        <w:jc w:val="both"/>
        <w:rPr>
          <w:rFonts w:ascii="Times New Roman" w:hAnsi="Times New Roman" w:eastAsia="方正小标宋_GBK"/>
          <w:sz w:val="36"/>
          <w:szCs w:val="36"/>
        </w:rPr>
      </w:pPr>
    </w:p>
    <w:p w14:paraId="5970075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30FFF149">
      <w:pPr>
        <w:adjustRightInd w:val="0"/>
        <w:spacing w:line="600" w:lineRule="exact"/>
        <w:ind w:right="641"/>
        <w:rPr>
          <w:rFonts w:ascii="Times New Roman" w:hAnsi="Times New Roman" w:eastAsia="仿宋_GB2312"/>
          <w:sz w:val="32"/>
          <w:szCs w:val="32"/>
        </w:rPr>
      </w:pPr>
    </w:p>
    <w:p w14:paraId="0F2FEB14">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2B6F02FD">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07195D2A">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0"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部门职责</w:t>
      </w:r>
    </w:p>
    <w:p w14:paraId="0E1DD9E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1.根据市政府授权，依照《中华人民共和国公司法》、《中华人民共和国企业国有资产法》等法律和行政法规履行出资人职责，加强所监管企业国有资产的管理工作。</w:t>
      </w:r>
    </w:p>
    <w:p w14:paraId="33B0051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承担监督所监管企业国有资产保值增值的责任。建立和完善国有资产保值增值指标体系，制定考核标准，通过统计、稽核对所监管企业国有资产的保值增值情况进行监管，负责做好所监管企业工资分配管理工作，拟订所监管企业负责人收入分配政策并组织实施。</w:t>
      </w:r>
    </w:p>
    <w:p w14:paraId="151DC39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w:t>
      </w:r>
    </w:p>
    <w:p w14:paraId="2CBA78D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4.负责企业国有资产基础管理，拟订国有资产管理的规范性文件，负责所监管企业国有资产处理管理，负责规范和发展国有企业产权交易市场，并进行监督管理；负责参控股企业国有股权的管理。</w:t>
      </w:r>
    </w:p>
    <w:p w14:paraId="789E6CC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5.指导推进国有企业改革和重组，推进国有企业的现代企业制度建设，完善公司治理结构，推动国有经济布局和结构的战略性调整；指导所监管企业引进战略投资者与产权(股权)招商引资与资本合作，加强与中央企业、省属企业的对接合作，负责归口组织协调全市与中央企业、省属企业对接合作工作。</w:t>
      </w:r>
    </w:p>
    <w:p w14:paraId="49ABC1C1">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6.通过法定程序对所监管企业的负责人进行任免、考核并根据其经营业绩进行奖惩，建立符合社会主义市场经济体制和现代企业制度要求的选人、用人机制，完善经营者激励和约束制度。</w:t>
      </w:r>
    </w:p>
    <w:p w14:paraId="65EA9E9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7.按照有关规定，代表市政府向所监管企业派出监事会和财务总监，负责监事会和财务总监的日常管理工作。</w:t>
      </w:r>
    </w:p>
    <w:p w14:paraId="5142617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8.指导、监督全市国有企业法律顾问管理工作。</w:t>
      </w:r>
    </w:p>
    <w:p w14:paraId="0E670F7C">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9.对县市区国有资产监督管理工作进行指导和监督。</w:t>
      </w:r>
    </w:p>
    <w:p w14:paraId="5518FBC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10.承办市委、市人民政府交办的其他事项。</w:t>
      </w:r>
    </w:p>
    <w:p w14:paraId="1CF1EA07">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b/>
          <w:bCs/>
          <w:color w:val="auto"/>
          <w:kern w:val="0"/>
          <w:lang w:val="zh-CN" w:eastAsia="zh-CN" w:bidi="zh-CN"/>
        </w:rPr>
      </w:pPr>
      <w:r>
        <w:rPr>
          <w:rFonts w:hint="eastAsia" w:ascii="仿宋" w:hAnsi="仿宋" w:eastAsia="仿宋" w:cs="仿宋"/>
          <w:b/>
          <w:bCs/>
          <w:color w:val="auto"/>
          <w:kern w:val="0"/>
          <w:lang w:val="zh-CN" w:eastAsia="zh-CN" w:bidi="zh-CN"/>
        </w:rPr>
        <w:t>机构设置</w:t>
      </w:r>
    </w:p>
    <w:p w14:paraId="559D21A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机构情况，2021年本单位内设政策法规科、规划发展和企业改革科、监督科、组织人事科、考核分配科、资本收益与财务管理科、产权管理科、安全维稳科、企业领导人员管理科、机关党委、党建工作科、宣传教育科、办公室13个机构组成。</w:t>
      </w:r>
    </w:p>
    <w:p w14:paraId="435D81E1">
      <w:pPr>
        <w:autoSpaceDE w:val="0"/>
        <w:autoSpaceDN w:val="0"/>
        <w:adjustRightInd w:val="0"/>
        <w:spacing w:beforeLines="0" w:afterLines="0" w:line="520" w:lineRule="exact"/>
        <w:ind w:firstLine="640"/>
      </w:pPr>
      <w:r>
        <w:rPr>
          <w:rFonts w:hint="eastAsia" w:ascii="华文仿宋" w:hAnsi="华文仿宋" w:eastAsia="华文仿宋"/>
          <w:sz w:val="32"/>
          <w:szCs w:val="24"/>
          <w:lang w:val="en-US" w:eastAsia="zh-CN"/>
        </w:rPr>
        <w:t>2．人员情况。2021年本单位年末实有人数45人，比上年</w:t>
      </w:r>
      <w:r>
        <w:rPr>
          <w:rFonts w:hint="eastAsia" w:ascii="华文仿宋" w:hAnsi="华文仿宋" w:eastAsia="华文仿宋"/>
          <w:sz w:val="32"/>
          <w:szCs w:val="24"/>
          <w:lang w:val="zh-CN" w:eastAsia="zh-CN"/>
        </w:rPr>
        <w:t>变动了</w:t>
      </w:r>
      <w:r>
        <w:rPr>
          <w:rFonts w:hint="eastAsia" w:ascii="华文仿宋" w:hAnsi="华文仿宋" w:eastAsia="华文仿宋"/>
          <w:sz w:val="32"/>
          <w:szCs w:val="24"/>
          <w:lang w:val="en-US" w:eastAsia="zh-CN"/>
        </w:rPr>
        <w:t>7人，退休9人，新增6人。</w:t>
      </w:r>
    </w:p>
    <w:p w14:paraId="79C06B90">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（二）项目资金基本情况</w:t>
      </w:r>
    </w:p>
    <w:p w14:paraId="7D9B58FC">
      <w:pPr>
        <w:pStyle w:val="2"/>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2021年度，项目资金预算安排147.6万元，项目支出147.91万元，比上年增长-6.19万元，增长-4.02%；</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本年度项目收入减少。其中：派驻派出机构支出27.6万元；国有资产监管支出80.24万元；维稳和国企改革项目支出40.07万元。</w:t>
      </w:r>
    </w:p>
    <w:p w14:paraId="015E688B">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项目资金主要用途及涉及范围：</w:t>
      </w:r>
      <w:r>
        <w:rPr>
          <w:rFonts w:hint="eastAsia" w:ascii="华文仿宋" w:hAnsi="华文仿宋" w:eastAsia="华文仿宋"/>
          <w:b/>
          <w:bCs/>
          <w:sz w:val="32"/>
          <w:szCs w:val="24"/>
          <w:lang w:val="en-US" w:eastAsia="zh-CN"/>
        </w:rPr>
        <w:t>（</w:t>
      </w:r>
      <w:r>
        <w:rPr>
          <w:rFonts w:hint="eastAsia" w:ascii="Times New Roman" w:hAnsi="Times New Roman" w:eastAsia="仿宋_GB2312" w:cs="Times New Roman"/>
          <w:b/>
          <w:bCs/>
          <w:sz w:val="32"/>
          <w:szCs w:val="32"/>
          <w:lang w:val="en-US" w:eastAsia="zh-CN"/>
        </w:rPr>
        <w:t>一）完善监管体制。</w:t>
      </w:r>
      <w:r>
        <w:rPr>
          <w:rFonts w:hint="eastAsia" w:ascii="华文仿宋" w:hAnsi="华文仿宋" w:eastAsia="华文仿宋"/>
          <w:sz w:val="32"/>
          <w:szCs w:val="24"/>
          <w:lang w:val="en-US" w:eastAsia="zh-CN"/>
        </w:rPr>
        <w:t>加快向管资本转变。</w:t>
      </w:r>
      <w:r>
        <w:rPr>
          <w:rFonts w:hint="eastAsia" w:ascii="Times New Roman" w:hAnsi="Times New Roman" w:eastAsia="仿宋_GB2312" w:cs="Times New Roman"/>
          <w:kern w:val="2"/>
          <w:sz w:val="32"/>
          <w:szCs w:val="32"/>
          <w:lang w:val="en-US" w:eastAsia="zh-CN" w:bidi="ar-SA"/>
        </w:rPr>
        <w:t>强化依法治企，突出公司章程纲领地位，出台了《衡阳市市属国有出资企业章程管理办法》，出台了《市属国有企业选人用人管理办法》和《市国资委监管企业国资代表管理办法》，建立适应现代企业制度要求和市场竞争需要的选人用人机制。（二）</w:t>
      </w:r>
      <w:r>
        <w:rPr>
          <w:rFonts w:hint="eastAsia" w:ascii="Times New Roman" w:hAnsi="Times New Roman" w:eastAsia="仿宋_GB2312" w:cs="Times New Roman"/>
          <w:b/>
          <w:bCs/>
          <w:sz w:val="32"/>
          <w:szCs w:val="32"/>
          <w:lang w:eastAsia="zh-CN"/>
        </w:rPr>
        <w:t>是规范内部管理。</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sz w:val="32"/>
          <w:szCs w:val="32"/>
          <w:lang w:eastAsia="zh-CN"/>
        </w:rPr>
        <w:t>委托中介机构对监管企业开展决算执行、考核指标完成、薪酬待遇发放等专项审计</w:t>
      </w:r>
      <w:r>
        <w:rPr>
          <w:rFonts w:hint="eastAsia" w:ascii="Times New Roman" w:hAnsi="Times New Roman" w:eastAsia="仿宋_GB2312" w:cs="Times New Roman"/>
          <w:sz w:val="32"/>
          <w:szCs w:val="32"/>
          <w:lang w:val="en-US" w:eastAsia="zh-CN"/>
        </w:rPr>
        <w:t>21次</w:t>
      </w:r>
      <w:r>
        <w:rPr>
          <w:rFonts w:hint="eastAsia" w:ascii="Times New Roman" w:hAnsi="Times New Roman" w:eastAsia="仿宋_GB2312" w:cs="Times New Roman"/>
          <w:sz w:val="32"/>
          <w:szCs w:val="32"/>
          <w:lang w:eastAsia="zh-CN"/>
        </w:rPr>
        <w:t>，开展基层党建、安全生产、环保督察</w:t>
      </w:r>
      <w:r>
        <w:rPr>
          <w:rFonts w:hint="eastAsia" w:ascii="Times New Roman" w:hAnsi="Times New Roman" w:eastAsia="仿宋_GB2312" w:cs="Times New Roman"/>
          <w:sz w:val="32"/>
          <w:szCs w:val="32"/>
          <w:lang w:val="en-US" w:eastAsia="zh-CN"/>
        </w:rPr>
        <w:t>2轮次，</w:t>
      </w:r>
      <w:r>
        <w:rPr>
          <w:rFonts w:hint="eastAsia" w:ascii="Times New Roman" w:hAnsi="Times New Roman" w:eastAsia="仿宋_GB2312" w:cs="Times New Roman"/>
          <w:sz w:val="32"/>
          <w:szCs w:val="32"/>
          <w:lang w:eastAsia="zh-CN"/>
        </w:rPr>
        <w:t>指导企业向管理要效益，持续强化成本管理，不断提升经营质效。（三）</w:t>
      </w:r>
      <w:r>
        <w:rPr>
          <w:rFonts w:hint="eastAsia" w:ascii="仿宋_GB2312" w:hAnsi="仿宋" w:eastAsia="仿宋_GB2312" w:cs="Times New Roman"/>
          <w:b/>
          <w:bCs/>
          <w:sz w:val="32"/>
          <w:szCs w:val="32"/>
          <w:lang w:eastAsia="zh-CN"/>
        </w:rPr>
        <w:t>积极稳妥推进混改。</w:t>
      </w:r>
      <w:r>
        <w:rPr>
          <w:rFonts w:hint="eastAsia" w:ascii="Times New Roman" w:hAnsi="Times New Roman" w:eastAsia="仿宋_GB2312" w:cs="Times New Roman"/>
          <w:sz w:val="32"/>
          <w:szCs w:val="32"/>
          <w:lang w:val="en-US" w:eastAsia="zh-CN"/>
        </w:rPr>
        <w:t>在市委市政府和省国资委的大力支持下，指导南岳电控开展员工持股工作</w:t>
      </w:r>
      <w:r>
        <w:rPr>
          <w:rFonts w:hint="eastAsia" w:ascii="Times New Roman" w:hAnsi="Times New Roman" w:eastAsia="仿宋_GB2312" w:cs="Times New Roman"/>
          <w:sz w:val="32"/>
          <w:szCs w:val="32"/>
        </w:rPr>
        <w:t>南岳电控公司员工790人受让中信（绵阳）持有</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14.4</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%股权，受让股份8650</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股，受让价款68</w:t>
      </w:r>
      <w:r>
        <w:rPr>
          <w:rFonts w:hint="eastAsia" w:ascii="Times New Roman" w:hAnsi="Times New Roman" w:eastAsia="仿宋_GB2312" w:cs="Times New Roman"/>
          <w:sz w:val="32"/>
          <w:szCs w:val="32"/>
          <w:lang w:val="en-US" w:eastAsia="zh-CN"/>
        </w:rPr>
        <w:t>00多万</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。实现市属一级企业集团层面混改破冰，并极大增强了南岳电控其他股东信心和企业</w:t>
      </w:r>
      <w:r>
        <w:rPr>
          <w:rFonts w:hint="eastAsia" w:ascii="Times New Roman" w:hAnsi="Times New Roman" w:eastAsia="仿宋_GB2312" w:cs="Times New Roman"/>
          <w:sz w:val="32"/>
          <w:szCs w:val="32"/>
        </w:rPr>
        <w:t>员工的积极性</w:t>
      </w:r>
      <w:r>
        <w:rPr>
          <w:rFonts w:hint="eastAsia" w:ascii="Times New Roman" w:hAnsi="Times New Roman" w:eastAsia="仿宋_GB2312" w:cs="Times New Roman"/>
          <w:sz w:val="32"/>
          <w:szCs w:val="32"/>
          <w:lang w:eastAsia="zh-CN"/>
        </w:rPr>
        <w:t>，为企业今后上市奠定良好基础</w:t>
      </w:r>
      <w:r>
        <w:rPr>
          <w:rFonts w:hint="eastAsia" w:ascii="Times New Roman" w:hAnsi="Times New Roman" w:eastAsia="仿宋_GB2312" w:cs="Times New Roman"/>
          <w:sz w:val="32"/>
          <w:szCs w:val="32"/>
        </w:rPr>
        <w:t>。</w:t>
      </w:r>
      <w:r>
        <w:rPr>
          <w:rFonts w:hint="eastAsia" w:ascii="仿宋_GB2312" w:hAnsi="仿宋" w:eastAsia="仿宋_GB2312" w:cs="Times New Roman"/>
          <w:b/>
          <w:bCs/>
          <w:sz w:val="32"/>
          <w:szCs w:val="32"/>
          <w:lang w:eastAsia="zh-CN"/>
        </w:rPr>
        <w:t>（四）是布局优化加速推进。</w:t>
      </w:r>
      <w:r>
        <w:rPr>
          <w:rFonts w:hint="eastAsia" w:ascii="Times New Roman" w:hAnsi="Times New Roman" w:eastAsia="仿宋_GB2312" w:cs="Times New Roman"/>
          <w:sz w:val="32"/>
          <w:szCs w:val="32"/>
          <w:lang w:eastAsia="zh-CN"/>
        </w:rPr>
        <w:t>按照市委市政府的安排部署，对市本级36家行政事业单位及其下属机构掌握的资产、资源和资金情况进行清查，结合“三资”清理以及平台公司内部清查情况，牵头起草了《关于进一步推动市级平台公司市场化转型发展的实施方案》，进一步明确各公司主业主责，向各公司注入经营性资产、股权和特许经营权，优化各公司资产和债务结构，提高各公司的经营能力、偿债能力及市场化水平。</w:t>
      </w:r>
      <w:r>
        <w:rPr>
          <w:rFonts w:hint="eastAsia" w:ascii="仿宋_GB2312" w:hAnsi="仿宋" w:eastAsia="仿宋_GB2312" w:cs="Times New Roman"/>
          <w:b/>
          <w:bCs/>
          <w:sz w:val="32"/>
          <w:szCs w:val="32"/>
          <w:lang w:eastAsia="zh-CN"/>
        </w:rPr>
        <w:t>（五）是狠抓债务约束。</w:t>
      </w:r>
      <w:r>
        <w:rPr>
          <w:rFonts w:hint="eastAsia" w:ascii="Times New Roman" w:hAnsi="Times New Roman" w:eastAsia="仿宋_GB2312" w:cs="Times New Roman"/>
          <w:sz w:val="32"/>
          <w:szCs w:val="32"/>
        </w:rPr>
        <w:t>建立资金动态监测体系，加强融资事项监管，避免发生融资风险</w:t>
      </w:r>
      <w:r>
        <w:rPr>
          <w:rFonts w:hint="eastAsia" w:ascii="Times New Roman" w:hAnsi="Times New Roman" w:eastAsia="仿宋_GB2312" w:cs="Times New Roman"/>
          <w:sz w:val="32"/>
          <w:szCs w:val="32"/>
          <w:lang w:eastAsia="zh-CN"/>
        </w:rPr>
        <w:t>，监管企业</w:t>
      </w:r>
      <w:r>
        <w:rPr>
          <w:rFonts w:hint="eastAsia" w:ascii="Times New Roman" w:hAnsi="Times New Roman" w:eastAsia="仿宋_GB2312" w:cs="Times New Roman"/>
          <w:sz w:val="32"/>
          <w:szCs w:val="32"/>
        </w:rPr>
        <w:t>全年未发生一起债务违约情况</w:t>
      </w:r>
      <w:r>
        <w:rPr>
          <w:rFonts w:hint="eastAsia" w:ascii="Times New Roman" w:hAnsi="Times New Roman" w:eastAsia="仿宋_GB2312" w:cs="Times New Roman"/>
          <w:sz w:val="32"/>
          <w:szCs w:val="32"/>
          <w:lang w:eastAsia="zh-CN"/>
        </w:rPr>
        <w:t>，市城建投成功退出监管类融资平台。把握疫情宽松政策机遇，积极对接市债管办、各金融机构，一批到期</w:t>
      </w:r>
      <w:r>
        <w:rPr>
          <w:rFonts w:hint="default" w:ascii="Times New Roman" w:hAnsi="Times New Roman" w:eastAsia="仿宋_GB2312" w:cs="Times New Roman"/>
          <w:sz w:val="32"/>
          <w:szCs w:val="32"/>
          <w:lang w:eastAsia="zh-CN"/>
        </w:rPr>
        <w:t>隐</w:t>
      </w:r>
      <w:r>
        <w:rPr>
          <w:rFonts w:hint="eastAsia" w:ascii="Times New Roman" w:hAnsi="Times New Roman" w:eastAsia="仿宋_GB2312" w:cs="Times New Roman"/>
          <w:sz w:val="32"/>
          <w:szCs w:val="32"/>
          <w:lang w:eastAsia="zh-CN"/>
        </w:rPr>
        <w:t>性</w:t>
      </w:r>
      <w:r>
        <w:rPr>
          <w:rFonts w:hint="default" w:ascii="Times New Roman" w:hAnsi="Times New Roman" w:eastAsia="仿宋_GB2312" w:cs="Times New Roman"/>
          <w:sz w:val="32"/>
          <w:szCs w:val="32"/>
        </w:rPr>
        <w:t>债</w:t>
      </w:r>
      <w:r>
        <w:rPr>
          <w:rFonts w:hint="eastAsia" w:ascii="Times New Roman" w:hAnsi="Times New Roman" w:eastAsia="仿宋_GB2312" w:cs="Times New Roman"/>
          <w:sz w:val="32"/>
          <w:szCs w:val="32"/>
          <w:lang w:eastAsia="zh-CN"/>
        </w:rPr>
        <w:t>务成功</w:t>
      </w:r>
      <w:r>
        <w:rPr>
          <w:rFonts w:hint="default" w:ascii="Times New Roman" w:hAnsi="Times New Roman" w:eastAsia="仿宋_GB2312" w:cs="Times New Roman"/>
          <w:sz w:val="32"/>
          <w:szCs w:val="32"/>
        </w:rPr>
        <w:t>置换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全年累计化解政府隐性债务</w:t>
      </w:r>
      <w:r>
        <w:rPr>
          <w:rFonts w:hint="eastAsia" w:ascii="Times New Roman" w:hAnsi="Times New Roman" w:eastAsia="仿宋_GB2312" w:cs="Times New Roman"/>
          <w:sz w:val="32"/>
          <w:szCs w:val="32"/>
          <w:u w:val="none"/>
          <w:lang w:val="en-US" w:eastAsia="zh-CN"/>
        </w:rPr>
        <w:t>45.5亿</w:t>
      </w:r>
      <w:r>
        <w:rPr>
          <w:rFonts w:hint="eastAsia" w:ascii="Times New Roman" w:hAnsi="Times New Roman" w:eastAsia="仿宋_GB2312" w:cs="Times New Roman"/>
          <w:sz w:val="32"/>
          <w:szCs w:val="32"/>
          <w:lang w:eastAsia="zh-CN"/>
        </w:rPr>
        <w:t>。</w:t>
      </w:r>
      <w:r>
        <w:rPr>
          <w:rFonts w:hint="eastAsia" w:ascii="仿宋_GB2312" w:hAnsi="仿宋" w:eastAsia="仿宋_GB2312" w:cs="Times New Roman"/>
          <w:b/>
          <w:bCs/>
          <w:sz w:val="32"/>
          <w:szCs w:val="32"/>
          <w:lang w:eastAsia="zh-CN"/>
        </w:rPr>
        <w:t>（六）是优化债务结构。</w:t>
      </w:r>
      <w:r>
        <w:rPr>
          <w:rFonts w:hint="eastAsia" w:ascii="Times New Roman" w:hAnsi="Times New Roman" w:eastAsia="仿宋_GB2312" w:cs="Times New Roman"/>
          <w:sz w:val="32"/>
          <w:szCs w:val="32"/>
          <w:lang w:eastAsia="zh-CN"/>
        </w:rPr>
        <w:t>支持监管企业与政策性银行加强合作，</w:t>
      </w:r>
      <w:r>
        <w:rPr>
          <w:rFonts w:hint="default" w:ascii="Times New Roman" w:hAnsi="Times New Roman" w:eastAsia="仿宋_GB2312" w:cs="Times New Roman"/>
          <w:sz w:val="32"/>
          <w:szCs w:val="32"/>
          <w:lang w:eastAsia="zh-CN"/>
        </w:rPr>
        <w:t>争取期限长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成本低资金</w:t>
      </w:r>
      <w:r>
        <w:rPr>
          <w:rFonts w:hint="eastAsia" w:ascii="Times New Roman" w:hAnsi="Times New Roman" w:eastAsia="仿宋_GB2312" w:cs="Times New Roman"/>
          <w:sz w:val="32"/>
          <w:szCs w:val="32"/>
          <w:lang w:eastAsia="zh-CN"/>
        </w:rPr>
        <w:t>，不断优化债务结构。</w:t>
      </w:r>
      <w:r>
        <w:rPr>
          <w:rFonts w:hint="default" w:ascii="Times New Roman" w:hAnsi="Times New Roman" w:eastAsia="仿宋_GB2312" w:cs="Times New Roman"/>
          <w:sz w:val="32"/>
          <w:szCs w:val="32"/>
          <w:u w:val="none"/>
          <w:lang w:eastAsia="zh-CN"/>
        </w:rPr>
        <w:t>弘湘公司</w:t>
      </w:r>
      <w:r>
        <w:rPr>
          <w:rFonts w:hint="eastAsia" w:ascii="Times New Roman" w:hAnsi="Times New Roman" w:eastAsia="仿宋_GB2312" w:cs="Times New Roman"/>
          <w:sz w:val="32"/>
          <w:szCs w:val="32"/>
          <w:u w:val="none"/>
          <w:lang w:eastAsia="zh-CN"/>
        </w:rPr>
        <w:t>全年</w:t>
      </w:r>
      <w:r>
        <w:rPr>
          <w:rFonts w:hint="default" w:ascii="Times New Roman" w:hAnsi="Times New Roman" w:eastAsia="仿宋_GB2312" w:cs="Times New Roman"/>
          <w:sz w:val="32"/>
          <w:szCs w:val="32"/>
          <w:u w:val="none"/>
          <w:lang w:eastAsia="zh-CN"/>
        </w:rPr>
        <w:t>累计到位</w:t>
      </w:r>
      <w:r>
        <w:rPr>
          <w:rFonts w:hint="eastAsia" w:ascii="Times New Roman" w:hAnsi="Times New Roman" w:eastAsia="仿宋_GB2312" w:cs="Times New Roman"/>
          <w:sz w:val="32"/>
          <w:szCs w:val="32"/>
          <w:u w:val="none"/>
          <w:lang w:eastAsia="zh-CN"/>
        </w:rPr>
        <w:t>政策性银行</w:t>
      </w:r>
      <w:r>
        <w:rPr>
          <w:rFonts w:hint="default" w:ascii="Times New Roman" w:hAnsi="Times New Roman" w:eastAsia="仿宋_GB2312" w:cs="Times New Roman"/>
          <w:sz w:val="32"/>
          <w:szCs w:val="32"/>
          <w:u w:val="none"/>
          <w:lang w:eastAsia="zh-CN"/>
        </w:rPr>
        <w:t>资金35.53亿元，平均期限</w:t>
      </w:r>
      <w:r>
        <w:rPr>
          <w:rFonts w:hint="eastAsia" w:ascii="Times New Roman" w:hAnsi="Times New Roman" w:eastAsia="仿宋_GB2312" w:cs="Times New Roman"/>
          <w:sz w:val="32"/>
          <w:szCs w:val="32"/>
          <w:u w:val="none"/>
          <w:lang w:eastAsia="zh-CN"/>
        </w:rPr>
        <w:t>达</w:t>
      </w:r>
      <w:r>
        <w:rPr>
          <w:rFonts w:hint="default" w:ascii="Times New Roman" w:hAnsi="Times New Roman" w:eastAsia="仿宋_GB2312" w:cs="Times New Roman"/>
          <w:sz w:val="32"/>
          <w:szCs w:val="32"/>
          <w:u w:val="none"/>
          <w:lang w:eastAsia="zh-CN"/>
        </w:rPr>
        <w:t>10年，平均利率</w:t>
      </w:r>
      <w:r>
        <w:rPr>
          <w:rFonts w:hint="eastAsia" w:ascii="Times New Roman" w:hAnsi="Times New Roman" w:eastAsia="仿宋_GB2312" w:cs="Times New Roman"/>
          <w:sz w:val="32"/>
          <w:szCs w:val="32"/>
          <w:u w:val="none"/>
          <w:lang w:eastAsia="zh-CN"/>
        </w:rPr>
        <w:t>仅</w:t>
      </w:r>
      <w:r>
        <w:rPr>
          <w:rFonts w:hint="default" w:ascii="Times New Roman" w:hAnsi="Times New Roman" w:eastAsia="仿宋_GB2312" w:cs="Times New Roman"/>
          <w:sz w:val="32"/>
          <w:szCs w:val="32"/>
          <w:u w:val="none"/>
          <w:lang w:eastAsia="zh-CN"/>
        </w:rPr>
        <w:t>4.65%</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lang w:eastAsia="zh-CN"/>
        </w:rPr>
        <w:t>高新投、松木投、发展投成功发行首支企业债，企业</w:t>
      </w:r>
      <w:r>
        <w:rPr>
          <w:rFonts w:hint="default" w:ascii="Times New Roman" w:hAnsi="Times New Roman" w:eastAsia="仿宋_GB2312" w:cs="Times New Roman"/>
          <w:sz w:val="32"/>
          <w:szCs w:val="32"/>
          <w:lang w:eastAsia="zh-CN"/>
        </w:rPr>
        <w:t>综合融资成本</w:t>
      </w:r>
      <w:r>
        <w:rPr>
          <w:rFonts w:hint="eastAsia" w:ascii="Times New Roman" w:hAnsi="Times New Roman" w:eastAsia="仿宋_GB2312" w:cs="Times New Roman"/>
          <w:sz w:val="32"/>
          <w:szCs w:val="32"/>
          <w:lang w:eastAsia="zh-CN"/>
        </w:rPr>
        <w:t>有效降低。</w:t>
      </w:r>
      <w:r>
        <w:rPr>
          <w:rFonts w:hint="eastAsia" w:ascii="仿宋_GB2312" w:hAnsi="仿宋" w:eastAsia="仿宋_GB2312" w:cs="Times New Roman"/>
          <w:b/>
          <w:bCs/>
          <w:sz w:val="32"/>
          <w:szCs w:val="32"/>
          <w:lang w:eastAsia="zh-CN"/>
        </w:rPr>
        <w:t>（七）是确保安全稳定。</w:t>
      </w:r>
      <w:r>
        <w:rPr>
          <w:rFonts w:hint="eastAsia" w:ascii="Times New Roman" w:hAnsi="Times New Roman" w:eastAsia="仿宋_GB2312" w:cs="Times New Roman"/>
          <w:sz w:val="32"/>
          <w:szCs w:val="32"/>
          <w:lang w:eastAsia="zh-CN"/>
        </w:rPr>
        <w:t>严格落实</w:t>
      </w:r>
      <w:r>
        <w:rPr>
          <w:rFonts w:hint="eastAsia" w:ascii="Times New Roman" w:hAnsi="Times New Roman" w:eastAsia="仿宋_GB2312" w:cs="Times New Roman"/>
          <w:sz w:val="32"/>
          <w:szCs w:val="32"/>
          <w:lang w:val="en-US" w:eastAsia="zh-CN"/>
        </w:rPr>
        <w:t>安全生产</w:t>
      </w:r>
      <w:r>
        <w:rPr>
          <w:rFonts w:hint="eastAsia" w:ascii="Times New Roman" w:hAnsi="Times New Roman" w:eastAsia="仿宋_GB2312" w:cs="Times New Roman"/>
          <w:sz w:val="32"/>
          <w:szCs w:val="32"/>
          <w:lang w:eastAsia="zh-CN"/>
        </w:rPr>
        <w:t>责任，强化问题导向、源头治理，组织开展</w:t>
      </w:r>
      <w:r>
        <w:rPr>
          <w:rFonts w:hint="eastAsia" w:ascii="Times New Roman" w:hAnsi="Times New Roman" w:eastAsia="仿宋_GB2312" w:cs="Times New Roman"/>
          <w:sz w:val="32"/>
          <w:szCs w:val="32"/>
          <w:lang w:val="en-US" w:eastAsia="zh-CN"/>
        </w:rPr>
        <w:t>安全生产专项整治、安全生产月、防洪防汛等活动，</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lang w:val="en-US" w:eastAsia="zh-CN"/>
        </w:rPr>
        <w:t>风险隐患大排查。</w:t>
      </w:r>
      <w:r>
        <w:rPr>
          <w:rFonts w:hint="eastAsia" w:ascii="Times New Roman" w:hAnsi="Times New Roman" w:eastAsia="仿宋_GB2312" w:cs="Times New Roman"/>
          <w:sz w:val="32"/>
          <w:szCs w:val="32"/>
          <w:lang w:eastAsia="zh-CN"/>
        </w:rPr>
        <w:t>中房集团克服资金压力，在珠晖区“八大市场”中带头行动，完成雁东大厦消防隐患整改任务，彰显国企担当。国资系统</w:t>
      </w:r>
      <w:r>
        <w:rPr>
          <w:rFonts w:hint="eastAsia" w:ascii="Times New Roman" w:hAnsi="Times New Roman" w:eastAsia="仿宋_GB2312" w:cs="Times New Roman"/>
          <w:sz w:val="32"/>
          <w:szCs w:val="32"/>
          <w:lang w:val="en-US" w:eastAsia="zh-CN"/>
        </w:rPr>
        <w:t>全</w:t>
      </w:r>
      <w:r>
        <w:rPr>
          <w:rFonts w:hint="eastAsia" w:ascii="Times New Roman" w:hAnsi="Times New Roman" w:eastAsia="仿宋_GB2312" w:cs="Times New Roman"/>
          <w:sz w:val="32"/>
          <w:szCs w:val="32"/>
          <w:lang w:eastAsia="zh-CN"/>
        </w:rPr>
        <w:t>年未发生一起较大以上安全生产</w:t>
      </w:r>
      <w:r>
        <w:rPr>
          <w:rFonts w:hint="eastAsia" w:ascii="Times New Roman" w:hAnsi="Times New Roman" w:eastAsia="仿宋_GB2312" w:cs="Times New Roman"/>
          <w:sz w:val="32"/>
          <w:szCs w:val="32"/>
          <w:lang w:val="en-US" w:eastAsia="zh-CN"/>
        </w:rPr>
        <w:t>责任</w:t>
      </w:r>
      <w:r>
        <w:rPr>
          <w:rFonts w:hint="eastAsia" w:ascii="Times New Roman" w:hAnsi="Times New Roman" w:eastAsia="仿宋_GB2312" w:cs="Times New Roman"/>
          <w:sz w:val="32"/>
          <w:szCs w:val="32"/>
          <w:lang w:eastAsia="zh-CN"/>
        </w:rPr>
        <w:t>事故。</w:t>
      </w:r>
      <w:r>
        <w:rPr>
          <w:rFonts w:hint="eastAsia" w:ascii="Times New Roman" w:hAnsi="Times New Roman" w:eastAsia="仿宋_GB2312" w:cs="Times New Roman"/>
          <w:b w:val="0"/>
          <w:bCs w:val="0"/>
          <w:sz w:val="32"/>
          <w:szCs w:val="32"/>
          <w:lang w:eastAsia="zh-CN"/>
        </w:rPr>
        <w:t>坚持以人民为中心，</w:t>
      </w:r>
      <w:r>
        <w:rPr>
          <w:rFonts w:hint="eastAsia" w:ascii="Times New Roman" w:hAnsi="Times New Roman" w:eastAsia="仿宋_GB2312" w:cs="Times New Roman"/>
          <w:sz w:val="32"/>
          <w:szCs w:val="32"/>
          <w:lang w:eastAsia="zh-CN"/>
        </w:rPr>
        <w:t>用心用情化解信访难题，</w:t>
      </w:r>
      <w:r>
        <w:rPr>
          <w:rFonts w:hint="eastAsia" w:ascii="Times New Roman" w:hAnsi="Times New Roman" w:eastAsia="仿宋_GB2312" w:cs="Times New Roman"/>
          <w:sz w:val="32"/>
          <w:szCs w:val="32"/>
          <w:lang w:val="en-US" w:eastAsia="zh-CN"/>
        </w:rPr>
        <w:t>实现赴省进京零非访目标，个访、集访次数同比历年有明显下降。经多次协调，彻底</w:t>
      </w:r>
      <w:r>
        <w:rPr>
          <w:rFonts w:hint="eastAsia" w:ascii="Times New Roman" w:hAnsi="Times New Roman" w:eastAsia="仿宋_GB2312" w:cs="Times New Roman"/>
          <w:sz w:val="32"/>
          <w:szCs w:val="32"/>
          <w:lang w:eastAsia="zh-CN"/>
        </w:rPr>
        <w:t>解决困扰军地双方近二十年的原</w:t>
      </w:r>
      <w:r>
        <w:rPr>
          <w:rFonts w:hint="eastAsia" w:ascii="Times New Roman" w:hAnsi="Times New Roman" w:eastAsia="仿宋_GB2312" w:cs="Times New Roman"/>
          <w:sz w:val="32"/>
          <w:szCs w:val="32"/>
          <w:lang w:val="en-US" w:eastAsia="zh-CN"/>
        </w:rPr>
        <w:t>54083部队修理所遗留问题，部队一次性支付4800多万元，切实维护了企业职工合法权益</w:t>
      </w:r>
      <w:r>
        <w:rPr>
          <w:rFonts w:hint="eastAsia" w:ascii="Times New Roman" w:hAnsi="Times New Roman" w:eastAsia="仿宋_GB2312" w:cs="Times New Roman"/>
          <w:sz w:val="32"/>
          <w:szCs w:val="32"/>
          <w:lang w:eastAsia="zh-CN"/>
        </w:rPr>
        <w:t>。</w:t>
      </w:r>
    </w:p>
    <w:p w14:paraId="4DD140E2">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w:t>
      </w:r>
    </w:p>
    <w:p w14:paraId="3FB84A9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市国资委根据市政府授权，依照《国资法》、《中华人民共和国公司法》等法律法规代表市政府对监管企业履行出资人职责；承担指导推进国有企业改革和重组；对所监管企业国有资产的保值增值进行监督，加强国有资产的管理工作；推进国有企业的现代企业制度建设，完善公司治理结构；推动国有经济结构和布局的战略性调整等工作。</w:t>
      </w:r>
    </w:p>
    <w:p w14:paraId="2D83E780">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通过项目的实施，依法合规履行出资人职权，有效落实国有资产保值增值责任，提升国资监管水平，引导企业实现效益更高、质量更好、结构更优的发展，不断做强做优做大国有资本。强化监督主责、化解信访积案、督促巡察整改，努力推动全面从严治党向纵深发展。完成全国、省、市两会的信访维稳值班劝返工作；完成日常及重大节日不定期的信访值班巡查工作；每天完成值班接访、信访件调研回复邮寄等办理工作、不定期赴省进京到市受理劝返工作。按照中央、省市关于国企改革三年行动的决策部署，扎实推进各项改革任务落地见效。</w:t>
      </w:r>
    </w:p>
    <w:p w14:paraId="5347404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4A1BFDA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1903764C">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2021年度，项目资金预算安排147.6万元。</w:t>
      </w:r>
    </w:p>
    <w:p w14:paraId="709C021E">
      <w:pPr>
        <w:numPr>
          <w:ilvl w:val="0"/>
          <w:numId w:val="4"/>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项目资金实际使用情况。</w:t>
      </w:r>
    </w:p>
    <w:p w14:paraId="72FC681E">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项目支出147.91万元，比上年增长-6.19万元，增长-4.02%；其中：派驻派出机构支出27.6万元；国有资产监管支出80.24万元；维稳和国企改革项目支出40.07万元。</w:t>
      </w:r>
    </w:p>
    <w:p w14:paraId="341B48DF">
      <w:pPr>
        <w:numPr>
          <w:ilvl w:val="0"/>
          <w:numId w:val="4"/>
        </w:numPr>
        <w:adjustRightInd w:val="0"/>
        <w:snapToGrid w:val="0"/>
        <w:spacing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w:t>
      </w:r>
      <w:r>
        <w:rPr>
          <w:rFonts w:hint="eastAsia" w:ascii="Times New Roman" w:hAnsi="Times New Roman" w:eastAsia="仿宋_GB2312"/>
          <w:sz w:val="32"/>
          <w:szCs w:val="32"/>
          <w:lang w:eastAsia="zh-CN"/>
        </w:rPr>
        <w:t>。</w:t>
      </w:r>
    </w:p>
    <w:p w14:paraId="253F7D4A">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出台了《全面预算管理办法》、《投资监督管理办法》、《规范企业负责人履职待遇、业务支出暂行办法》、《违规经营投资责任追究实施办法》、《中介业务管理办法》等系列管理办法，国资监管制度体系基本形成，有效堵塞监管漏洞和薄弱环节。出台了《市属国有企业选人用人管理办法》和《市国资委监管企业国资代表管理办法》，建立适应现代企业制度要求和市场竞争需要的选人用人机制。</w:t>
      </w:r>
    </w:p>
    <w:p w14:paraId="21CF44D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0C5ADDDA">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w:t>
      </w:r>
      <w:r>
        <w:rPr>
          <w:rFonts w:hint="eastAsia" w:ascii="Times New Roman" w:hAnsi="Times New Roman" w:eastAsia="仿宋_GB2312"/>
          <w:sz w:val="32"/>
          <w:szCs w:val="32"/>
          <w:lang w:eastAsia="zh-CN"/>
        </w:rPr>
        <w:t>况</w:t>
      </w:r>
      <w:r>
        <w:rPr>
          <w:rFonts w:ascii="Times New Roman" w:hAnsi="Times New Roman" w:eastAsia="仿宋_GB2312"/>
          <w:sz w:val="32"/>
          <w:szCs w:val="32"/>
        </w:rPr>
        <w:t>。</w:t>
      </w:r>
    </w:p>
    <w:p w14:paraId="2B7BA572">
      <w:pPr>
        <w:pStyle w:val="2"/>
      </w:pPr>
      <w:r>
        <w:rPr>
          <w:rFonts w:hint="eastAsia" w:ascii="Times New Roman" w:hAnsi="Times New Roman" w:eastAsia="仿宋_GB2312" w:cs="Times New Roman"/>
          <w:sz w:val="32"/>
          <w:szCs w:val="32"/>
          <w:lang w:val="en-US" w:eastAsia="zh-CN"/>
        </w:rPr>
        <w:t>2021年度，我委</w:t>
      </w:r>
      <w:r>
        <w:rPr>
          <w:rFonts w:hint="eastAsia" w:ascii="Times New Roman" w:hAnsi="Times New Roman" w:eastAsia="仿宋_GB2312" w:cs="Times New Roman"/>
          <w:sz w:val="32"/>
          <w:szCs w:val="32"/>
          <w:lang w:eastAsia="zh-CN"/>
        </w:rPr>
        <w:t>开展“廉政风险排查”和“招投标专项整治”，</w:t>
      </w:r>
      <w:r>
        <w:rPr>
          <w:rFonts w:hint="eastAsia" w:ascii="Times New Roman" w:hAnsi="Times New Roman" w:eastAsia="仿宋_GB2312" w:cs="Times New Roman"/>
          <w:sz w:val="32"/>
          <w:szCs w:val="32"/>
        </w:rPr>
        <w:t>紧扣项目</w:t>
      </w:r>
      <w:r>
        <w:rPr>
          <w:rFonts w:hint="eastAsia" w:ascii="Times New Roman" w:hAnsi="Times New Roman" w:eastAsia="仿宋_GB2312" w:cs="Times New Roman"/>
          <w:sz w:val="32"/>
          <w:szCs w:val="32"/>
          <w:lang w:eastAsia="zh-CN"/>
        </w:rPr>
        <w:t>招投标、违规</w:t>
      </w:r>
      <w:r>
        <w:rPr>
          <w:rFonts w:hint="eastAsia" w:ascii="Times New Roman" w:hAnsi="Times New Roman" w:eastAsia="仿宋_GB2312" w:cs="Times New Roman"/>
          <w:sz w:val="32"/>
          <w:szCs w:val="32"/>
        </w:rPr>
        <w:t>投资、产权流转、资金使用、物资采购等关键环节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对有令不行、有禁不止的严肃查处，以有力问责维护制度权威、强化制度执行。</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sz w:val="32"/>
          <w:szCs w:val="32"/>
          <w:lang w:eastAsia="zh-CN"/>
        </w:rPr>
        <w:t>委托中介机构对监管企业开展决算执行、考核指标完成、薪酬待遇发放等专项审计</w:t>
      </w:r>
      <w:r>
        <w:rPr>
          <w:rFonts w:hint="eastAsia" w:ascii="Times New Roman" w:hAnsi="Times New Roman" w:eastAsia="仿宋_GB2312" w:cs="Times New Roman"/>
          <w:sz w:val="32"/>
          <w:szCs w:val="32"/>
          <w:lang w:val="en-US" w:eastAsia="zh-CN"/>
        </w:rPr>
        <w:t>21次</w:t>
      </w:r>
      <w:r>
        <w:rPr>
          <w:rFonts w:hint="eastAsia" w:ascii="Times New Roman" w:hAnsi="Times New Roman" w:eastAsia="仿宋_GB2312" w:cs="Times New Roman"/>
          <w:sz w:val="32"/>
          <w:szCs w:val="32"/>
          <w:lang w:eastAsia="zh-CN"/>
        </w:rPr>
        <w:t>，开展基层党建、安全生产、环保督察</w:t>
      </w:r>
      <w:r>
        <w:rPr>
          <w:rFonts w:hint="eastAsia" w:ascii="Times New Roman" w:hAnsi="Times New Roman" w:eastAsia="仿宋_GB2312" w:cs="Times New Roman"/>
          <w:sz w:val="32"/>
          <w:szCs w:val="32"/>
          <w:lang w:val="en-US" w:eastAsia="zh-CN"/>
        </w:rPr>
        <w:t>2轮次，</w:t>
      </w:r>
      <w:r>
        <w:rPr>
          <w:rFonts w:hint="eastAsia" w:ascii="Times New Roman" w:hAnsi="Times New Roman" w:eastAsia="仿宋_GB2312" w:cs="Times New Roman"/>
          <w:sz w:val="32"/>
          <w:szCs w:val="32"/>
          <w:lang w:eastAsia="zh-CN"/>
        </w:rPr>
        <w:t>指导企业向管理要效益，持续强化成本管理，不断提升经营质效。</w:t>
      </w:r>
    </w:p>
    <w:p w14:paraId="1EB7E1B6">
      <w:pPr>
        <w:numPr>
          <w:ilvl w:val="0"/>
          <w:numId w:val="5"/>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039BC48E">
      <w:pPr>
        <w:pStyle w:val="2"/>
        <w:numPr>
          <w:ilvl w:val="0"/>
          <w:numId w:val="0"/>
        </w:numPr>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所有均按照现行规章制度组织项目实施，没有需招投标建设的项目。</w:t>
      </w:r>
    </w:p>
    <w:p w14:paraId="6306B928">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0710B19E">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21597DD4">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项目支出决策按照我委资金使用决策程序实施：支出科室上报项目支出计划；办公室汇总；主任办公会议和党委会研究；领导审批；科室实施。</w:t>
      </w:r>
    </w:p>
    <w:p w14:paraId="3AF0C067">
      <w:pPr>
        <w:numPr>
          <w:ilvl w:val="0"/>
          <w:numId w:val="5"/>
        </w:numPr>
        <w:adjustRightInd w:val="0"/>
        <w:snapToGrid w:val="0"/>
        <w:spacing w:line="600" w:lineRule="exact"/>
        <w:ind w:left="0" w:leftChars="0" w:firstLine="640" w:firstLineChars="200"/>
        <w:rPr>
          <w:rFonts w:hint="eastAsia" w:eastAsia="宋体"/>
          <w:lang w:eastAsia="zh-CN"/>
        </w:rPr>
      </w:pPr>
      <w:r>
        <w:rPr>
          <w:rFonts w:ascii="Times New Roman" w:hAnsi="Times New Roman" w:eastAsia="楷体_GB2312"/>
          <w:sz w:val="32"/>
          <w:szCs w:val="32"/>
        </w:rPr>
        <w:t>项目支出过程情况。</w:t>
      </w:r>
    </w:p>
    <w:p w14:paraId="0D532E43">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按照项目支出内容和管理职责由各科室提出申请，分管领导签字，科室实施。</w:t>
      </w:r>
    </w:p>
    <w:p w14:paraId="381E43D5">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6C65AE08">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完成10家监管企业2021年度经营业绩考核工作。</w:t>
      </w:r>
      <w:r>
        <w:rPr>
          <w:rFonts w:hint="eastAsia" w:ascii="Times New Roman" w:hAnsi="Times New Roman" w:eastAsia="仿宋_GB2312" w:cs="Times New Roman"/>
          <w:sz w:val="32"/>
          <w:szCs w:val="32"/>
          <w:lang w:eastAsia="zh-CN"/>
        </w:rPr>
        <w:t>组织监管企业按时上缴国有资本收益，未按时上缴的企业数量不超过</w:t>
      </w:r>
      <w:r>
        <w:rPr>
          <w:rFonts w:hint="eastAsia" w:ascii="Times New Roman" w:hAnsi="Times New Roman" w:eastAsia="仿宋_GB2312" w:cs="Times New Roman"/>
          <w:sz w:val="32"/>
          <w:szCs w:val="32"/>
          <w:lang w:val="en-US" w:eastAsia="zh-CN"/>
        </w:rPr>
        <w:t>3家</w:t>
      </w:r>
      <w:r>
        <w:rPr>
          <w:rFonts w:hint="eastAsia" w:ascii="Times New Roman" w:hAnsi="Times New Roman" w:eastAsia="仿宋_GB2312" w:cs="Times New Roman"/>
          <w:sz w:val="32"/>
          <w:szCs w:val="32"/>
          <w:lang w:eastAsia="zh-CN"/>
        </w:rPr>
        <w:t>国有资产监管经费共</w:t>
      </w:r>
      <w:r>
        <w:rPr>
          <w:rFonts w:hint="eastAsia" w:ascii="Times New Roman" w:hAnsi="Times New Roman" w:eastAsia="仿宋_GB2312" w:cs="Times New Roman"/>
          <w:sz w:val="32"/>
          <w:szCs w:val="32"/>
          <w:lang w:val="en-US" w:eastAsia="zh-CN"/>
        </w:rPr>
        <w:t>100万元，包括产权管理、考核分配、资本收益与财务管理等相关业务开支。</w:t>
      </w:r>
    </w:p>
    <w:p w14:paraId="79B4A392">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742B627C">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各项任务的实施，促进国企经济有序发展，通过对监管企业实施分类考核，鼓励企业积极承担社会责任。督促监管企业强化生态环境保护、污染治理的各项措施，将生态环境保护工作纳入企业经营业绩考核，严格奖惩。体现政策导向，保障国资委各项工作平稳进行、可持续发展。通过各个项目的实施，力争使监管企业对项目实施的满意度达到较好水平</w:t>
      </w:r>
    </w:p>
    <w:p w14:paraId="43AB4274">
      <w:pPr>
        <w:numPr>
          <w:ilvl w:val="0"/>
          <w:numId w:val="6"/>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4BDBAE45">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国有资产处置盘活难。我市企业国有资产大多数为土地资产，大部分为不成熟的生地，特别是弘湘公司收储的改制企业土地，租赁户多、职工住户多、企业遗留问题多，处置难度非常大。且现我市的土地市场年供应量基本饱和，平台公司不宜一次性投放过多土地进入市场。种种原因导致平台公司资产种类单一、流动性较差，处置困难。          </w:t>
      </w:r>
    </w:p>
    <w:p w14:paraId="1261E5B4">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债务风险防范有压力。目前我市平台公司负债总额已超1400亿，尽管从财务报表上看，资产负债率不高，风险可控，但由于缺少经营性收益和资产处置收益，单靠“借新还旧”，债务规模不断累积，债务风险不断增加。特别是近期银保监会下发的《银行保险机构进一步做好地方政府隐性债务风险防范化解工作的指导意见》，要求金融机构不得向平台公司发放流动贷款，不得为专项债项目配套资金，金融机构收紧对平台公司的融资渠道，多笔在金融机构办理续贷的资金已被叫停，进一步加剧了我市平台公司的债务风险。</w:t>
      </w:r>
    </w:p>
    <w:p w14:paraId="48A0A58A">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政企分开、政资分开进展缓慢。根据中共中央、国务院《关于深化国有企业改革的指导意见》（中发﹝2015﹞22号）、《中共湖南省委湖南省人民政府关于进一步深化国有企业改革的意见》（湘发﹝2014﹞7号）文件精神，要大力推进政企、政资分开，要求机关事业单位与所属企业脱钩。目前，省级机关事业单位与所属企业已经基本完成脱钩。</w:t>
      </w:r>
    </w:p>
    <w:p w14:paraId="65ACA109">
      <w:pPr>
        <w:numPr>
          <w:ilvl w:val="0"/>
          <w:numId w:val="6"/>
        </w:numPr>
        <w:adjustRightInd w:val="0"/>
        <w:snapToGrid w:val="0"/>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27822075">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7E211495">
      <w:pPr>
        <w:pStyle w:val="2"/>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七、</w:t>
      </w:r>
      <w:r>
        <w:rPr>
          <w:rFonts w:ascii="Times New Roman" w:hAnsi="Times New Roman" w:eastAsia="黑体" w:cs="Times New Roman"/>
          <w:kern w:val="2"/>
          <w:sz w:val="32"/>
          <w:szCs w:val="32"/>
          <w:lang w:val="en-US" w:eastAsia="zh-CN" w:bidi="ar-SA"/>
        </w:rPr>
        <w:t>其他需要</w:t>
      </w:r>
      <w:r>
        <w:rPr>
          <w:rFonts w:ascii="Times New Roman" w:hAnsi="Times New Roman" w:eastAsia="黑体"/>
          <w:sz w:val="32"/>
          <w:szCs w:val="32"/>
        </w:rPr>
        <w:t>说明的问题</w:t>
      </w:r>
    </w:p>
    <w:p w14:paraId="74B1C631">
      <w:pPr>
        <w:adjustRightInd w:val="0"/>
        <w:snapToGrid w:val="0"/>
        <w:spacing w:line="600" w:lineRule="exact"/>
        <w:ind w:firstLine="320" w:firstLineChars="1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40000209">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附件：项目支出绩效自评表</w:t>
      </w:r>
    </w:p>
    <w:p w14:paraId="338DBA9C">
      <w:pPr>
        <w:jc w:val="both"/>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255E">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- 10 -</w:t>
    </w:r>
    <w:r>
      <w:rPr>
        <w:rStyle w:val="11"/>
        <w:rFonts w:ascii="Times New Roman" w:hAnsi="Times New Roman"/>
        <w:sz w:val="28"/>
        <w:szCs w:val="28"/>
      </w:rPr>
      <w:fldChar w:fldCharType="end"/>
    </w:r>
  </w:p>
  <w:p w14:paraId="06A18D4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B75C">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6C96BADC">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3F038"/>
    <w:multiLevelType w:val="singleLevel"/>
    <w:tmpl w:val="A903F038"/>
    <w:lvl w:ilvl="0" w:tentative="0">
      <w:start w:val="2"/>
      <w:numFmt w:val="chineseCounting"/>
      <w:suff w:val="nothing"/>
      <w:lvlText w:val="（%1）"/>
      <w:lvlJc w:val="left"/>
      <w:rPr>
        <w:rFonts w:hint="eastAsia"/>
      </w:rPr>
    </w:lvl>
  </w:abstractNum>
  <w:abstractNum w:abstractNumId="1">
    <w:nsid w:val="F7CC31B7"/>
    <w:multiLevelType w:val="singleLevel"/>
    <w:tmpl w:val="F7CC31B7"/>
    <w:lvl w:ilvl="0" w:tentative="0">
      <w:start w:val="1"/>
      <w:numFmt w:val="chineseCounting"/>
      <w:suff w:val="nothing"/>
      <w:lvlText w:val="%1、"/>
      <w:lvlJc w:val="left"/>
      <w:rPr>
        <w:rFonts w:hint="eastAsia"/>
      </w:rPr>
    </w:lvl>
  </w:abstractNum>
  <w:abstractNum w:abstractNumId="2">
    <w:nsid w:val="FC297ACD"/>
    <w:multiLevelType w:val="singleLevel"/>
    <w:tmpl w:val="FC297ACD"/>
    <w:lvl w:ilvl="0" w:tentative="0">
      <w:start w:val="6"/>
      <w:numFmt w:val="chineseCounting"/>
      <w:suff w:val="nothing"/>
      <w:lvlText w:val="%1、"/>
      <w:lvlJc w:val="left"/>
      <w:rPr>
        <w:rFonts w:hint="eastAsia"/>
      </w:rPr>
    </w:lvl>
  </w:abstractNum>
  <w:abstractNum w:abstractNumId="3">
    <w:nsid w:val="24051A3A"/>
    <w:multiLevelType w:val="singleLevel"/>
    <w:tmpl w:val="24051A3A"/>
    <w:lvl w:ilvl="0" w:tentative="0">
      <w:start w:val="8"/>
      <w:numFmt w:val="chineseCounting"/>
      <w:suff w:val="nothing"/>
      <w:lvlText w:val="%1、"/>
      <w:lvlJc w:val="left"/>
      <w:rPr>
        <w:rFonts w:hint="eastAsia"/>
      </w:rPr>
    </w:lvl>
  </w:abstractNum>
  <w:abstractNum w:abstractNumId="4">
    <w:nsid w:val="52F68791"/>
    <w:multiLevelType w:val="singleLevel"/>
    <w:tmpl w:val="52F68791"/>
    <w:lvl w:ilvl="0" w:tentative="0">
      <w:start w:val="2"/>
      <w:numFmt w:val="chineseCounting"/>
      <w:suff w:val="nothing"/>
      <w:lvlText w:val="（%1）"/>
      <w:lvlJc w:val="left"/>
      <w:rPr>
        <w:rFonts w:hint="eastAsia"/>
      </w:rPr>
    </w:lvl>
  </w:abstractNum>
  <w:abstractNum w:abstractNumId="5">
    <w:nsid w:val="5EAF4DDE"/>
    <w:multiLevelType w:val="singleLevel"/>
    <w:tmpl w:val="5EAF4DDE"/>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F262ACD"/>
    <w:rsid w:val="15DA6FC6"/>
    <w:rsid w:val="18934E7A"/>
    <w:rsid w:val="217D46AD"/>
    <w:rsid w:val="2A6A71A8"/>
    <w:rsid w:val="2CA61530"/>
    <w:rsid w:val="2E660FDE"/>
    <w:rsid w:val="398B5761"/>
    <w:rsid w:val="3F52287D"/>
    <w:rsid w:val="416B7C26"/>
    <w:rsid w:val="41C61B6B"/>
    <w:rsid w:val="44A368B7"/>
    <w:rsid w:val="44A75419"/>
    <w:rsid w:val="47782D09"/>
    <w:rsid w:val="5A140A4C"/>
    <w:rsid w:val="5C2F64BB"/>
    <w:rsid w:val="609A4BD3"/>
    <w:rsid w:val="60A22DD5"/>
    <w:rsid w:val="619C7F7F"/>
    <w:rsid w:val="62F62474"/>
    <w:rsid w:val="640815D9"/>
    <w:rsid w:val="66B91727"/>
    <w:rsid w:val="6AF80B9B"/>
    <w:rsid w:val="6BAD2A66"/>
    <w:rsid w:val="6CDE3E9F"/>
    <w:rsid w:val="6D396C11"/>
    <w:rsid w:val="71125845"/>
    <w:rsid w:val="734E0DA1"/>
    <w:rsid w:val="773A3B3B"/>
    <w:rsid w:val="77A24B7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link w:val="13"/>
    <w:qFormat/>
    <w:uiPriority w:val="99"/>
    <w:pPr>
      <w:jc w:val="left"/>
    </w:pPr>
    <w:rPr>
      <w:rFonts w:ascii="Times New Roman" w:hAnsi="Times New Roman"/>
      <w:szCs w:val="24"/>
    </w:rPr>
  </w:style>
  <w:style w:type="paragraph" w:styleId="4">
    <w:name w:val="Body Text"/>
    <w:basedOn w:val="1"/>
    <w:qFormat/>
    <w:uiPriority w:val="1"/>
    <w:rPr>
      <w:sz w:val="32"/>
      <w:szCs w:val="32"/>
    </w:rPr>
  </w:style>
  <w:style w:type="paragraph" w:styleId="5">
    <w:name w:val="Balloon Text"/>
    <w:basedOn w:val="1"/>
    <w:link w:val="14"/>
    <w:qFormat/>
    <w:uiPriority w:val="99"/>
    <w:rPr>
      <w:rFonts w:ascii="Times New Roman" w:hAnsi="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annotation reference"/>
    <w:basedOn w:val="10"/>
    <w:qFormat/>
    <w:uiPriority w:val="99"/>
    <w:rPr>
      <w:rFonts w:cs="Times New Roman"/>
      <w:sz w:val="21"/>
      <w:szCs w:val="21"/>
    </w:rPr>
  </w:style>
  <w:style w:type="character" w:customStyle="1" w:styleId="13">
    <w:name w:val="批注文字 Char"/>
    <w:basedOn w:val="10"/>
    <w:link w:val="3"/>
    <w:qFormat/>
    <w:locked/>
    <w:uiPriority w:val="99"/>
    <w:rPr>
      <w:rFonts w:ascii="Times New Roman" w:hAnsi="Times New Roman" w:eastAsia="宋体" w:cs="Times New Roman"/>
      <w:sz w:val="24"/>
      <w:szCs w:val="24"/>
    </w:rPr>
  </w:style>
  <w:style w:type="character" w:customStyle="1" w:styleId="14">
    <w:name w:val="批注框文本 Char"/>
    <w:basedOn w:val="10"/>
    <w:link w:val="5"/>
    <w:qFormat/>
    <w:locked/>
    <w:uiPriority w:val="99"/>
    <w:rPr>
      <w:rFonts w:ascii="Times New Roman" w:hAnsi="Times New Roman" w:eastAsia="宋体" w:cs="Times New Roman"/>
      <w:sz w:val="18"/>
      <w:szCs w:val="18"/>
    </w:rPr>
  </w:style>
  <w:style w:type="character" w:customStyle="1" w:styleId="15">
    <w:name w:val="页脚 Char"/>
    <w:basedOn w:val="10"/>
    <w:link w:val="6"/>
    <w:qFormat/>
    <w:locked/>
    <w:uiPriority w:val="99"/>
    <w:rPr>
      <w:rFonts w:cs="Times New Roman"/>
      <w:sz w:val="18"/>
      <w:szCs w:val="18"/>
    </w:rPr>
  </w:style>
  <w:style w:type="character" w:customStyle="1" w:styleId="16">
    <w:name w:val="页眉 Char"/>
    <w:basedOn w:val="10"/>
    <w:link w:val="7"/>
    <w:qFormat/>
    <w:locked/>
    <w:uiPriority w:val="99"/>
    <w:rPr>
      <w:rFonts w:cs="Times New Roman"/>
      <w:sz w:val="18"/>
      <w:szCs w:val="18"/>
    </w:rPr>
  </w:style>
  <w:style w:type="paragraph" w:customStyle="1" w:styleId="17">
    <w:name w:val="列出段落1"/>
    <w:basedOn w:val="1"/>
    <w:qFormat/>
    <w:uiPriority w:val="99"/>
    <w:pPr>
      <w:ind w:firstLine="420" w:firstLineChars="200"/>
    </w:pPr>
    <w:rPr>
      <w:rFonts w:ascii="Times New Roman" w:hAnsi="Times New Roman"/>
      <w:szCs w:val="24"/>
    </w:rPr>
  </w:style>
  <w:style w:type="paragraph" w:styleId="18">
    <w:name w:val="List Paragraph"/>
    <w:basedOn w:val="1"/>
    <w:qFormat/>
    <w:uiPriority w:val="99"/>
    <w:pPr>
      <w:ind w:firstLine="420" w:firstLineChars="200"/>
    </w:pPr>
    <w:rPr>
      <w:rFonts w:ascii="Times New Roman" w:hAnsi="Times New Roman"/>
      <w:szCs w:val="24"/>
    </w:rPr>
  </w:style>
  <w:style w:type="paragraph" w:customStyle="1" w:styleId="19">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6991</Words>
  <Characters>7498</Characters>
  <Lines>35</Lines>
  <Paragraphs>9</Paragraphs>
  <TotalTime>7</TotalTime>
  <ScaleCrop>false</ScaleCrop>
  <LinksUpToDate>false</LinksUpToDate>
  <CharactersWithSpaces>7747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2022-02-23T02:03:00Z</cp:lastPrinted>
  <dcterms:modified xsi:type="dcterms:W3CDTF">2025-04-29T06:13:16Z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5E1862540BEA4C88B29775FF48B61016</vt:lpwstr>
  </property>
  <property fmtid="{D5CDD505-2E9C-101B-9397-08002B2CF9AE}" pid="4" name="KSOTemplateDocerSaveRecord">
    <vt:lpwstr>eyJoZGlkIjoiM2MzMjI1ZTIyNTAyNTBiZDBlZWJjZWE1NGEwYWM5M2QiLCJ1c2VySWQiOiIxMDY5MjgzMDcxIn0=</vt:lpwstr>
  </property>
</Properties>
</file>