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3.4.1.1  按台(套)办理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使用单位申请办理特种设备使用登记时，应当逐台(套)填写使用登记表，向登记机关提交以下相应资料，并且对其真实性负责：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使用登记表(一式两份)；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含有使用单位统一社会信用代码的证明或者个人身份证明(适用于公民个人所有的特种设备)；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特种设备产品合格证(含产品数据表、车用气瓶安装合格证明)；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特种设备监督检验证明(安全技术规范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要求进行使用前首次检验的特种设备，应当提交使用前的首次检验报告)；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sz w:val="32"/>
          <w:szCs w:val="32"/>
        </w:rPr>
        <w:t>机动车行驶证(适用于与机动车固定的移动式压力容器)、机动车登记证书(适用于与机动车固定的车用气瓶)；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(6)</w:t>
      </w:r>
      <w:r>
        <w:rPr>
          <w:rFonts w:hint="eastAsia" w:ascii="仿宋_GB2312" w:hAnsi="仿宋_GB2312" w:eastAsia="仿宋_GB2312" w:cs="仿宋_GB2312"/>
          <w:sz w:val="32"/>
          <w:szCs w:val="32"/>
        </w:rPr>
        <w:t>锅炉能效证明文件。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3.4.1.2  按单位办理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使用单位申请办理特种设备使用登记时，应当向登记机关提交以下相应资料，并且对其真实性负责：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使用登记表(一式两份)；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(2)含有使用单位统一社会信用代码的证明；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(3)监督检验、定期检验证明(注 3-1)；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(4)《压力管道基本信息汇总表——工业管道》(格式见附件 C)，《气瓶基本信息汇总表》(格式见附件 D)。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 3-1：新投入使用的气瓶应当提供制造监督验证明，进行定期检验的气瓶应当同时提供定期检验证明。压力管道应当提供安装监督验证明，达到定期检验周期的压力管道还应当提供定期检验证明；未进行安装监督检验的，应当提供定期检验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47D5"/>
    <w:rsid w:val="3D4F47D5"/>
    <w:rsid w:val="FFEC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2021-05-17T14:44:00Z</dcterms:created>
  <dc:creator>shayu12365</dc:creator>
  <cp:lastModifiedBy>kylin</cp:lastModifiedBy>
  <cp:lastPrinted>2021-05-17T14:48:00Z</cp:lastPrinted>
  <dcterms:modified xsi:type="dcterms:W3CDTF">2022-08-25T14:43:55Z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