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4ACE2">
      <w:pPr>
        <w:jc w:val="center"/>
        <w:rPr>
          <w:rFonts w:ascii="黑体" w:hAnsi="黑体" w:eastAsia="黑体"/>
          <w:b/>
          <w:sz w:val="44"/>
        </w:rPr>
      </w:pPr>
      <w:bookmarkStart w:id="0" w:name="_GoBack"/>
      <w:bookmarkEnd w:id="0"/>
      <w:r>
        <w:rPr>
          <w:rFonts w:hint="eastAsia" w:ascii="黑体" w:hAnsi="黑体" w:eastAsia="黑体"/>
          <w:b/>
          <w:sz w:val="44"/>
        </w:rPr>
        <w:t>政务信息资源共享与保密协议（数据使用者）</w:t>
      </w:r>
    </w:p>
    <w:p w14:paraId="7CE8EC1C">
      <w:pPr>
        <w:spacing w:before="156" w:beforeLines="50" w:after="156" w:afterLines="50" w:line="360" w:lineRule="auto"/>
        <w:rPr>
          <w:rFonts w:ascii="黑体" w:hAnsi="黑体" w:eastAsia="黑体"/>
          <w:b/>
          <w:sz w:val="32"/>
        </w:rPr>
      </w:pPr>
      <w:r>
        <w:rPr>
          <w:rFonts w:hint="eastAsia" w:ascii="黑体" w:hAnsi="黑体" w:eastAsia="黑体"/>
          <w:b/>
          <w:sz w:val="32"/>
        </w:rPr>
        <w:t>甲 方：</w:t>
      </w:r>
    </w:p>
    <w:p w14:paraId="4E35073C">
      <w:pPr>
        <w:spacing w:before="156" w:beforeLines="50" w:after="156" w:afterLines="50" w:line="360" w:lineRule="auto"/>
        <w:rPr>
          <w:rFonts w:ascii="黑体" w:hAnsi="黑体" w:eastAsia="黑体"/>
          <w:b/>
          <w:sz w:val="32"/>
        </w:rPr>
      </w:pPr>
      <w:r>
        <w:rPr>
          <w:rFonts w:hint="eastAsia" w:ascii="黑体" w:hAnsi="黑体" w:eastAsia="黑体"/>
          <w:b/>
          <w:sz w:val="32"/>
        </w:rPr>
        <w:t>乙 方：</w:t>
      </w:r>
    </w:p>
    <w:p w14:paraId="2FF02C6A">
      <w:pPr>
        <w:spacing w:before="156" w:beforeLines="50" w:after="156" w:afterLines="50" w:line="540" w:lineRule="exact"/>
        <w:ind w:firstLine="420"/>
        <w:rPr>
          <w:rFonts w:ascii="仿宋" w:hAnsi="仿宋" w:eastAsia="仿宋"/>
          <w:sz w:val="32"/>
          <w:szCs w:val="32"/>
        </w:rPr>
      </w:pPr>
      <w:r>
        <w:rPr>
          <w:rFonts w:hint="eastAsia" w:ascii="仿宋" w:hAnsi="仿宋" w:eastAsia="仿宋"/>
          <w:sz w:val="32"/>
          <w:szCs w:val="32"/>
        </w:rPr>
        <w:t>为规范政务信息资源的数据使用和</w:t>
      </w:r>
      <w:r>
        <w:rPr>
          <w:rFonts w:ascii="仿宋" w:hAnsi="仿宋" w:eastAsia="仿宋"/>
          <w:sz w:val="32"/>
          <w:szCs w:val="32"/>
        </w:rPr>
        <w:t>管理</w:t>
      </w:r>
      <w:r>
        <w:rPr>
          <w:rFonts w:hint="eastAsia" w:ascii="仿宋" w:hAnsi="仿宋" w:eastAsia="仿宋"/>
          <w:sz w:val="32"/>
          <w:szCs w:val="32"/>
        </w:rPr>
        <w:t>，保证政务信息资源在交换共享过程中的传数据传输、存储及应用安全，防止数据泄密，特签订如下协议</w:t>
      </w:r>
    </w:p>
    <w:p w14:paraId="04EC369F">
      <w:pPr>
        <w:spacing w:before="156" w:beforeLines="50" w:after="156" w:afterLines="50" w:line="540" w:lineRule="exact"/>
        <w:ind w:left="105" w:leftChars="50" w:firstLine="604" w:firstLineChars="188"/>
        <w:rPr>
          <w:rFonts w:ascii="黑体" w:eastAsia="黑体"/>
          <w:b/>
          <w:sz w:val="32"/>
          <w:szCs w:val="32"/>
        </w:rPr>
      </w:pPr>
      <w:r>
        <w:rPr>
          <w:rFonts w:hint="eastAsia" w:ascii="黑体" w:eastAsia="黑体"/>
          <w:b/>
          <w:sz w:val="32"/>
          <w:szCs w:val="32"/>
        </w:rPr>
        <w:t>一、数据使用及安全</w:t>
      </w:r>
    </w:p>
    <w:p w14:paraId="64F8A09B">
      <w:pPr>
        <w:spacing w:line="480" w:lineRule="exact"/>
        <w:ind w:left="42" w:leftChars="20" w:right="42" w:rightChars="20" w:firstLine="627" w:firstLineChars="224"/>
        <w:rPr>
          <w:rFonts w:ascii="仿宋_GB2312" w:hAnsi="华文细黑" w:eastAsia="仿宋_GB2312"/>
          <w:color w:val="FF0000"/>
          <w:sz w:val="28"/>
          <w:szCs w:val="28"/>
        </w:rPr>
      </w:pPr>
      <w:r>
        <w:rPr>
          <w:rFonts w:ascii="仿宋_GB2312" w:hAnsi="华文细黑" w:eastAsia="仿宋_GB2312"/>
          <w:sz w:val="28"/>
          <w:szCs w:val="28"/>
        </w:rPr>
        <w:t>1</w:t>
      </w:r>
      <w:r>
        <w:rPr>
          <w:rFonts w:hint="eastAsia" w:ascii="仿宋_GB2312" w:hAnsi="华文细黑" w:eastAsia="仿宋_GB2312"/>
          <w:sz w:val="28"/>
          <w:szCs w:val="28"/>
        </w:rPr>
        <w:t>、</w:t>
      </w:r>
      <w:r>
        <w:rPr>
          <w:rFonts w:hint="eastAsia" w:ascii="仿宋" w:hAnsi="仿宋" w:eastAsia="仿宋"/>
          <w:sz w:val="32"/>
          <w:szCs w:val="32"/>
        </w:rPr>
        <w:t>甲方有权对乙方滥用、扩散、泄露共享信息以及其他危害政务信息资源安全的行为及时制止，并责令乙方及时采取补救措施。</w:t>
      </w:r>
    </w:p>
    <w:p w14:paraId="00CB66DD">
      <w:pPr>
        <w:spacing w:before="156" w:beforeLines="50" w:after="156" w:afterLines="50" w:line="540" w:lineRule="exact"/>
        <w:ind w:left="105" w:leftChars="50" w:firstLine="601" w:firstLineChars="188"/>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乙方应根据《衡阳市政务信息资源共享目录》及本单位依法履行职责的需要，向甲方申请使用其他单位的数据资源。使用过程中发现数据不准确等问题应及时向甲方反馈。甲方应会同数据提供单位及时核实，数据确有错误的，提供单位应当予以纠正。</w:t>
      </w:r>
    </w:p>
    <w:p w14:paraId="6C82DD29">
      <w:pPr>
        <w:spacing w:before="156" w:beforeLines="50" w:after="156" w:afterLines="50" w:line="540" w:lineRule="exact"/>
        <w:ind w:left="105" w:leftChars="50" w:firstLine="601" w:firstLineChars="188"/>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、乙方应建立共享数据的使用管理制度，加强对共享数据使用全过程的监督管理，确保共享数据的安全。乙方业务系统应具有日志留痕功能，并将日志回传给甲方。</w:t>
      </w:r>
    </w:p>
    <w:p w14:paraId="2A4BF414">
      <w:pPr>
        <w:spacing w:before="156" w:beforeLines="50" w:after="156" w:afterLines="50" w:line="540" w:lineRule="exact"/>
        <w:ind w:left="105" w:leftChars="50" w:firstLine="601" w:firstLineChars="188"/>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乙方从共享平台获取的数据</w:t>
      </w:r>
      <w:r>
        <w:rPr>
          <w:rFonts w:hint="eastAsia" w:ascii="仿宋" w:hAnsi="仿宋" w:eastAsia="仿宋"/>
          <w:sz w:val="32"/>
          <w:szCs w:val="32"/>
        </w:rPr>
        <w:t>，只能用于本单位履行职责，不得用于商业目的，不得非法私自查询，不得向社会发布，不得向第三方提供或以其他形式公布。</w:t>
      </w:r>
    </w:p>
    <w:p w14:paraId="5A61AB49">
      <w:pPr>
        <w:spacing w:before="156" w:beforeLines="50" w:after="156" w:afterLines="50" w:line="540" w:lineRule="exact"/>
        <w:ind w:firstLine="709"/>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乙方对获取使用的数据不拥有复制、传播、出版、翻译成外国语言等权利，不得以商业目的使用该数据或者开发和生产产品。数据的任何格式或者任何复制品视同原始数据。</w:t>
      </w:r>
    </w:p>
    <w:p w14:paraId="34BF7BB6">
      <w:pPr>
        <w:spacing w:before="156" w:beforeLines="50" w:after="156" w:afterLines="50" w:line="540" w:lineRule="exact"/>
        <w:ind w:firstLine="709"/>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乙方可根据需要对数据内容进行必要的修改和对数据格式进行转换，但未经许可不得将修改、转换后的数据对外发布和提供，并须将修改、转换的情况及修改、转换的内容向甲方告知备案。</w:t>
      </w:r>
    </w:p>
    <w:p w14:paraId="75FE583F">
      <w:pPr>
        <w:spacing w:before="156" w:beforeLines="50" w:after="156" w:afterLines="50" w:line="540" w:lineRule="exact"/>
        <w:ind w:firstLine="567"/>
        <w:rPr>
          <w:rFonts w:ascii="黑体" w:hAnsi="黑体" w:eastAsia="黑体"/>
          <w:b/>
          <w:sz w:val="32"/>
          <w:szCs w:val="24"/>
        </w:rPr>
      </w:pPr>
      <w:r>
        <w:rPr>
          <w:rFonts w:hint="eastAsia" w:ascii="黑体" w:hAnsi="黑体" w:eastAsia="黑体"/>
          <w:b/>
          <w:sz w:val="32"/>
          <w:szCs w:val="24"/>
        </w:rPr>
        <w:t>三、</w:t>
      </w:r>
      <w:r>
        <w:rPr>
          <w:rFonts w:ascii="黑体" w:hAnsi="黑体" w:eastAsia="黑体"/>
          <w:b/>
          <w:sz w:val="32"/>
          <w:szCs w:val="24"/>
        </w:rPr>
        <w:t>保密期限</w:t>
      </w:r>
    </w:p>
    <w:p w14:paraId="7DBA7912">
      <w:pPr>
        <w:autoSpaceDN w:val="0"/>
        <w:spacing w:line="500" w:lineRule="exact"/>
        <w:ind w:firstLine="640" w:firstLineChars="200"/>
        <w:rPr>
          <w:rFonts w:ascii="仿宋_GB2312" w:eastAsia="仿宋_GB2312"/>
          <w:sz w:val="32"/>
          <w:szCs w:val="24"/>
        </w:rPr>
      </w:pPr>
      <w:r>
        <w:rPr>
          <w:rFonts w:hint="eastAsia" w:ascii="仿宋_GB2312" w:eastAsia="仿宋_GB2312"/>
          <w:sz w:val="32"/>
          <w:szCs w:val="24"/>
        </w:rPr>
        <w:t>1、本协议双方代表签字并盖章后生效，自生效之日起，双方的合作交流都要执行本协议的条款。</w:t>
      </w:r>
    </w:p>
    <w:p w14:paraId="60BC0AF8">
      <w:pPr>
        <w:autoSpaceDN w:val="0"/>
        <w:spacing w:line="500" w:lineRule="exact"/>
        <w:ind w:firstLine="640" w:firstLineChars="200"/>
        <w:rPr>
          <w:rFonts w:ascii="仿宋_GB2312" w:eastAsia="仿宋_GB2312"/>
          <w:sz w:val="32"/>
          <w:szCs w:val="24"/>
        </w:rPr>
      </w:pPr>
      <w:r>
        <w:rPr>
          <w:rFonts w:ascii="仿宋_GB2312" w:eastAsia="仿宋_GB2312"/>
          <w:sz w:val="32"/>
          <w:szCs w:val="24"/>
        </w:rPr>
        <w:t>2</w:t>
      </w:r>
      <w:r>
        <w:rPr>
          <w:rFonts w:hint="eastAsia" w:ascii="仿宋_GB2312" w:eastAsia="仿宋_GB2312"/>
          <w:sz w:val="32"/>
          <w:szCs w:val="24"/>
        </w:rPr>
        <w:t>、</w:t>
      </w:r>
      <w:r>
        <w:rPr>
          <w:rFonts w:ascii="仿宋_GB2312" w:eastAsia="仿宋_GB2312"/>
          <w:sz w:val="32"/>
          <w:szCs w:val="24"/>
        </w:rPr>
        <w:t xml:space="preserve"> </w:t>
      </w:r>
      <w:r>
        <w:rPr>
          <w:rFonts w:hint="eastAsia" w:ascii="仿宋_GB2312" w:eastAsia="仿宋_GB2312"/>
          <w:sz w:val="32"/>
          <w:szCs w:val="24"/>
        </w:rPr>
        <w:t>除非甲方通过书面通知明确说明本协议所涉及的某项政务信息资源可以不再保密，乙方必须按照本协议所承担的保密义务对协议结束前收到的政务信息资源进行保密，保密期限不受本协议有效期限的限制。</w:t>
      </w:r>
    </w:p>
    <w:p w14:paraId="4EF813AA">
      <w:pPr>
        <w:spacing w:before="156" w:beforeLines="50" w:after="156" w:afterLines="50" w:line="540" w:lineRule="exact"/>
        <w:ind w:firstLine="567"/>
        <w:outlineLvl w:val="0"/>
        <w:rPr>
          <w:rFonts w:ascii="黑体" w:eastAsia="黑体"/>
          <w:b/>
          <w:sz w:val="32"/>
          <w:szCs w:val="32"/>
        </w:rPr>
      </w:pPr>
      <w:r>
        <w:rPr>
          <w:rFonts w:hint="eastAsia" w:ascii="黑体" w:eastAsia="黑体"/>
          <w:b/>
          <w:sz w:val="32"/>
          <w:szCs w:val="32"/>
        </w:rPr>
        <w:t>四、违约责任</w:t>
      </w:r>
    </w:p>
    <w:p w14:paraId="36B6C801">
      <w:pPr>
        <w:spacing w:before="156" w:beforeLines="50" w:after="156" w:afterLines="50" w:line="540" w:lineRule="exact"/>
        <w:ind w:firstLine="709"/>
        <w:rPr>
          <w:rFonts w:ascii="仿宋" w:hAnsi="仿宋" w:eastAsia="仿宋"/>
          <w:sz w:val="32"/>
          <w:szCs w:val="32"/>
        </w:rPr>
      </w:pPr>
      <w:r>
        <w:rPr>
          <w:rFonts w:hint="eastAsia" w:ascii="仿宋" w:hAnsi="仿宋" w:eastAsia="仿宋"/>
          <w:sz w:val="32"/>
          <w:szCs w:val="32"/>
        </w:rPr>
        <w:t>1、甲乙双方中的任何一方，由于不可抗力造成的不能正常履行本协议，需要延期履行、部分履行或者不履行协议时，应当向对方通报，并说明理由，并递交有效证明文件。</w:t>
      </w:r>
    </w:p>
    <w:p w14:paraId="2CAE328D">
      <w:pPr>
        <w:spacing w:before="156" w:beforeLines="50" w:after="156" w:afterLines="50" w:line="540" w:lineRule="exact"/>
        <w:ind w:firstLine="709"/>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、乙方使用数据违反有关保密规定的，依</w:t>
      </w:r>
      <w:r>
        <w:rPr>
          <w:rFonts w:hint="eastAsia" w:ascii="仿宋_GB2312" w:eastAsia="仿宋_GB2312"/>
          <w:sz w:val="32"/>
          <w:szCs w:val="24"/>
        </w:rPr>
        <w:t>照《中华人民共和国保守国家秘密法》等有关法律法规的规定处理</w:t>
      </w:r>
      <w:r>
        <w:rPr>
          <w:rFonts w:hint="eastAsia" w:ascii="仿宋" w:hAnsi="仿宋" w:eastAsia="仿宋"/>
          <w:sz w:val="32"/>
          <w:szCs w:val="32"/>
        </w:rPr>
        <w:t>。</w:t>
      </w:r>
    </w:p>
    <w:p w14:paraId="3D40E729">
      <w:pPr>
        <w:spacing w:before="156" w:beforeLines="50" w:after="156" w:afterLines="50" w:line="540" w:lineRule="exact"/>
        <w:ind w:firstLine="709"/>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、乙方违反本协议规定的甲方有权对因此造成的损失要求赔偿；构成犯罪的，由司法机关追究其刑事责任。</w:t>
      </w:r>
    </w:p>
    <w:p w14:paraId="7ABE4CC8">
      <w:pPr>
        <w:spacing w:before="156" w:beforeLines="50" w:after="156" w:afterLines="50" w:line="540" w:lineRule="exact"/>
        <w:ind w:firstLine="709"/>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、因乙方使用或保管数据不当，导致知识产权纠纷或失密事件，由乙方负全部法律责任。</w:t>
      </w:r>
    </w:p>
    <w:p w14:paraId="1683E3EF">
      <w:pPr>
        <w:spacing w:before="156" w:beforeLines="50" w:after="156" w:afterLines="50" w:line="540" w:lineRule="exact"/>
        <w:ind w:firstLine="643" w:firstLineChars="200"/>
        <w:outlineLvl w:val="0"/>
        <w:rPr>
          <w:rFonts w:ascii="黑体" w:eastAsia="黑体"/>
          <w:b/>
          <w:sz w:val="32"/>
          <w:szCs w:val="32"/>
        </w:rPr>
      </w:pPr>
      <w:r>
        <w:rPr>
          <w:rFonts w:hint="eastAsia" w:ascii="黑体" w:eastAsia="黑体"/>
          <w:b/>
          <w:sz w:val="32"/>
          <w:szCs w:val="32"/>
        </w:rPr>
        <w:t>五、本协议一式两份，甲方、乙方各一份，具有相同的法律效力。</w:t>
      </w:r>
    </w:p>
    <w:p w14:paraId="16C5316B">
      <w:pPr>
        <w:spacing w:before="156" w:beforeLines="50" w:after="156" w:afterLines="50" w:line="540" w:lineRule="exact"/>
        <w:ind w:firstLine="643" w:firstLineChars="200"/>
        <w:outlineLvl w:val="0"/>
        <w:rPr>
          <w:rFonts w:ascii="黑体" w:eastAsia="黑体"/>
          <w:b/>
          <w:sz w:val="32"/>
          <w:szCs w:val="32"/>
        </w:rPr>
      </w:pPr>
      <w:r>
        <w:rPr>
          <w:rFonts w:hint="eastAsia" w:ascii="黑体" w:eastAsia="黑体"/>
          <w:b/>
          <w:sz w:val="32"/>
          <w:szCs w:val="32"/>
        </w:rPr>
        <w:t>六、协议由双方</w:t>
      </w:r>
      <w:r>
        <w:rPr>
          <w:rFonts w:hint="eastAsia" w:ascii="黑体" w:eastAsia="黑体"/>
          <w:b/>
          <w:sz w:val="32"/>
          <w:szCs w:val="32"/>
          <w:lang w:eastAsia="zh-CN"/>
        </w:rPr>
        <w:t>法定代表人或</w:t>
      </w:r>
      <w:r>
        <w:rPr>
          <w:rFonts w:hint="eastAsia" w:ascii="黑体" w:eastAsia="黑体"/>
          <w:b/>
          <w:sz w:val="32"/>
          <w:szCs w:val="32"/>
        </w:rPr>
        <w:t>代理人签字后生效。</w:t>
      </w:r>
    </w:p>
    <w:p w14:paraId="7DAD8F89"/>
    <w:tbl>
      <w:tblPr>
        <w:tblStyle w:val="6"/>
        <w:tblW w:w="8965" w:type="dxa"/>
        <w:jc w:val="center"/>
        <w:tblLayout w:type="fixed"/>
        <w:tblCellMar>
          <w:top w:w="0" w:type="dxa"/>
          <w:left w:w="0" w:type="dxa"/>
          <w:bottom w:w="0" w:type="dxa"/>
          <w:right w:w="0" w:type="dxa"/>
        </w:tblCellMar>
      </w:tblPr>
      <w:tblGrid>
        <w:gridCol w:w="4156"/>
        <w:gridCol w:w="630"/>
        <w:gridCol w:w="4179"/>
      </w:tblGrid>
      <w:tr w14:paraId="623C7902">
        <w:tblPrEx>
          <w:tblCellMar>
            <w:top w:w="0" w:type="dxa"/>
            <w:left w:w="0" w:type="dxa"/>
            <w:bottom w:w="0" w:type="dxa"/>
            <w:right w:w="0" w:type="dxa"/>
          </w:tblCellMar>
        </w:tblPrEx>
        <w:trPr>
          <w:trHeight w:val="80" w:hRule="atLeast"/>
          <w:jc w:val="center"/>
        </w:trPr>
        <w:tc>
          <w:tcPr>
            <w:tcW w:w="4156" w:type="dxa"/>
            <w:tcBorders>
              <w:top w:val="nil"/>
              <w:left w:val="nil"/>
              <w:bottom w:val="nil"/>
              <w:right w:val="nil"/>
            </w:tcBorders>
          </w:tcPr>
          <w:p w14:paraId="7A31324E">
            <w:pPr>
              <w:rPr>
                <w:rFonts w:eastAsia="仿宋_GB2312"/>
                <w:sz w:val="32"/>
              </w:rPr>
            </w:pPr>
            <w:r>
              <w:rPr>
                <w:rFonts w:hint="eastAsia" w:eastAsia="仿宋_GB2312"/>
                <w:sz w:val="32"/>
              </w:rPr>
              <w:t>甲方：（盖章）</w:t>
            </w:r>
          </w:p>
          <w:p w14:paraId="7492C03C">
            <w:pPr>
              <w:rPr>
                <w:rFonts w:eastAsia="仿宋_GB2312"/>
                <w:sz w:val="32"/>
              </w:rPr>
            </w:pPr>
          </w:p>
          <w:p w14:paraId="64F09201">
            <w:pPr>
              <w:rPr>
                <w:rFonts w:eastAsia="仿宋_GB2312"/>
                <w:sz w:val="32"/>
              </w:rPr>
            </w:pPr>
            <w:r>
              <w:rPr>
                <w:rFonts w:hint="eastAsia" w:eastAsia="仿宋_GB2312"/>
                <w:sz w:val="32"/>
              </w:rPr>
              <w:t>法人代表或代理人（签字）</w:t>
            </w:r>
          </w:p>
          <w:p w14:paraId="14287DB1">
            <w:pPr>
              <w:rPr>
                <w:rFonts w:eastAsia="仿宋_GB2312"/>
                <w:sz w:val="32"/>
              </w:rPr>
            </w:pPr>
          </w:p>
          <w:p w14:paraId="60322F4A">
            <w:pPr>
              <w:rPr>
                <w:rFonts w:eastAsia="仿宋_GB2312"/>
                <w:sz w:val="32"/>
              </w:rPr>
            </w:pPr>
            <w:r>
              <w:rPr>
                <w:rFonts w:hint="eastAsia" w:eastAsia="仿宋_GB2312"/>
                <w:sz w:val="32"/>
              </w:rPr>
              <w:t>时间：    年   月   日</w:t>
            </w:r>
          </w:p>
        </w:tc>
        <w:tc>
          <w:tcPr>
            <w:tcW w:w="630" w:type="dxa"/>
            <w:tcBorders>
              <w:top w:val="nil"/>
              <w:left w:val="nil"/>
              <w:bottom w:val="nil"/>
              <w:right w:val="nil"/>
            </w:tcBorders>
          </w:tcPr>
          <w:p w14:paraId="37DCF543">
            <w:pPr>
              <w:rPr>
                <w:rFonts w:eastAsia="仿宋_GB2312"/>
                <w:sz w:val="32"/>
              </w:rPr>
            </w:pPr>
          </w:p>
        </w:tc>
        <w:tc>
          <w:tcPr>
            <w:tcW w:w="4179" w:type="dxa"/>
            <w:tcBorders>
              <w:top w:val="nil"/>
              <w:left w:val="nil"/>
              <w:bottom w:val="nil"/>
              <w:right w:val="nil"/>
            </w:tcBorders>
          </w:tcPr>
          <w:p w14:paraId="461EEE01">
            <w:pPr>
              <w:rPr>
                <w:rFonts w:eastAsia="仿宋_GB2312"/>
                <w:sz w:val="32"/>
              </w:rPr>
            </w:pPr>
            <w:r>
              <w:rPr>
                <w:rFonts w:hint="eastAsia" w:eastAsia="仿宋_GB2312"/>
                <w:sz w:val="32"/>
              </w:rPr>
              <w:t>乙方：（盖章）</w:t>
            </w:r>
          </w:p>
          <w:p w14:paraId="259AC5F1">
            <w:pPr>
              <w:rPr>
                <w:rFonts w:eastAsia="仿宋_GB2312"/>
                <w:sz w:val="32"/>
              </w:rPr>
            </w:pPr>
          </w:p>
          <w:p w14:paraId="4C714974">
            <w:pPr>
              <w:rPr>
                <w:rFonts w:eastAsia="仿宋_GB2312"/>
                <w:sz w:val="32"/>
              </w:rPr>
            </w:pPr>
            <w:r>
              <w:rPr>
                <w:rFonts w:hint="eastAsia" w:eastAsia="仿宋_GB2312"/>
                <w:sz w:val="32"/>
              </w:rPr>
              <w:t>法人代表或代理人（签字）</w:t>
            </w:r>
          </w:p>
          <w:p w14:paraId="0059C57A">
            <w:pPr>
              <w:rPr>
                <w:rFonts w:eastAsia="仿宋_GB2312"/>
                <w:sz w:val="32"/>
              </w:rPr>
            </w:pPr>
          </w:p>
          <w:p w14:paraId="0FA9A030">
            <w:pPr>
              <w:rPr>
                <w:rFonts w:eastAsia="仿宋_GB2312"/>
                <w:sz w:val="32"/>
              </w:rPr>
            </w:pPr>
            <w:r>
              <w:rPr>
                <w:rFonts w:hint="eastAsia" w:eastAsia="仿宋_GB2312"/>
                <w:sz w:val="32"/>
              </w:rPr>
              <w:t>时间：    年   月   日</w:t>
            </w:r>
          </w:p>
        </w:tc>
      </w:tr>
    </w:tbl>
    <w:p w14:paraId="6A2F80FF">
      <w:pPr>
        <w:rPr>
          <w:vanish/>
        </w:rPr>
      </w:pPr>
    </w:p>
    <w:sectPr>
      <w:footerReference r:id="rId3" w:type="default"/>
      <w:pgSz w:w="11906" w:h="16838"/>
      <w:pgMar w:top="209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黑体-简">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0B30D">
    <w:pPr>
      <w:pStyle w:val="4"/>
      <w:jc w:val="center"/>
    </w:pPr>
    <w:r>
      <w:rPr>
        <w:rStyle w:val="8"/>
      </w:rPr>
      <w:fldChar w:fldCharType="begin"/>
    </w:r>
    <w:r>
      <w:rPr>
        <w:rStyle w:val="8"/>
      </w:rPr>
      <w:instrText xml:space="preserve"> PAGE </w:instrText>
    </w:r>
    <w:r>
      <w:rPr>
        <w:rStyle w:val="8"/>
      </w:rPr>
      <w:fldChar w:fldCharType="separate"/>
    </w:r>
    <w:r>
      <w:rPr>
        <w:rStyle w:val="8"/>
      </w:rPr>
      <w:t>1</w:t>
    </w:r>
    <w:r>
      <w:rPr>
        <w:rStyle w:val="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2"/>
  </w:compat>
  <w:rsids>
    <w:rsidRoot w:val="00060E5F"/>
    <w:rsid w:val="00002A92"/>
    <w:rsid w:val="00002B8A"/>
    <w:rsid w:val="00032AAA"/>
    <w:rsid w:val="00040984"/>
    <w:rsid w:val="00051BF2"/>
    <w:rsid w:val="00060E5F"/>
    <w:rsid w:val="000B5AAA"/>
    <w:rsid w:val="000E1A6A"/>
    <w:rsid w:val="000F2405"/>
    <w:rsid w:val="001002E0"/>
    <w:rsid w:val="00115F75"/>
    <w:rsid w:val="0015192D"/>
    <w:rsid w:val="0017735C"/>
    <w:rsid w:val="00184A9F"/>
    <w:rsid w:val="001D2844"/>
    <w:rsid w:val="00235AFF"/>
    <w:rsid w:val="002407A9"/>
    <w:rsid w:val="00263B25"/>
    <w:rsid w:val="0026672B"/>
    <w:rsid w:val="002B0AA2"/>
    <w:rsid w:val="002B47CE"/>
    <w:rsid w:val="002B5811"/>
    <w:rsid w:val="00362C01"/>
    <w:rsid w:val="003A2C0C"/>
    <w:rsid w:val="003B118E"/>
    <w:rsid w:val="003D5E13"/>
    <w:rsid w:val="003F7DA3"/>
    <w:rsid w:val="00467CB1"/>
    <w:rsid w:val="004C68B5"/>
    <w:rsid w:val="004D3DA4"/>
    <w:rsid w:val="004F0D77"/>
    <w:rsid w:val="0050376F"/>
    <w:rsid w:val="0053458B"/>
    <w:rsid w:val="00545B86"/>
    <w:rsid w:val="00545CA0"/>
    <w:rsid w:val="00571636"/>
    <w:rsid w:val="005E6ACD"/>
    <w:rsid w:val="005F0EA5"/>
    <w:rsid w:val="00606652"/>
    <w:rsid w:val="00634826"/>
    <w:rsid w:val="00635E2B"/>
    <w:rsid w:val="00646AD0"/>
    <w:rsid w:val="0065043E"/>
    <w:rsid w:val="00652904"/>
    <w:rsid w:val="00654E97"/>
    <w:rsid w:val="006F34DC"/>
    <w:rsid w:val="007215AE"/>
    <w:rsid w:val="00732578"/>
    <w:rsid w:val="00737384"/>
    <w:rsid w:val="00764883"/>
    <w:rsid w:val="00772CA6"/>
    <w:rsid w:val="00780A08"/>
    <w:rsid w:val="0079049E"/>
    <w:rsid w:val="00793182"/>
    <w:rsid w:val="007E2970"/>
    <w:rsid w:val="007F2CB6"/>
    <w:rsid w:val="007F345D"/>
    <w:rsid w:val="008172E2"/>
    <w:rsid w:val="00846FFA"/>
    <w:rsid w:val="00890725"/>
    <w:rsid w:val="008D6BB9"/>
    <w:rsid w:val="009C3DB5"/>
    <w:rsid w:val="009D6F9E"/>
    <w:rsid w:val="00A17791"/>
    <w:rsid w:val="00A35673"/>
    <w:rsid w:val="00A4124A"/>
    <w:rsid w:val="00A747C1"/>
    <w:rsid w:val="00A81FB9"/>
    <w:rsid w:val="00AB0387"/>
    <w:rsid w:val="00AB7E33"/>
    <w:rsid w:val="00AE1B5E"/>
    <w:rsid w:val="00AF2842"/>
    <w:rsid w:val="00AF40D4"/>
    <w:rsid w:val="00B04B42"/>
    <w:rsid w:val="00B07D50"/>
    <w:rsid w:val="00B3613F"/>
    <w:rsid w:val="00B42F58"/>
    <w:rsid w:val="00B90620"/>
    <w:rsid w:val="00BE143E"/>
    <w:rsid w:val="00C323E5"/>
    <w:rsid w:val="00C36EC6"/>
    <w:rsid w:val="00C7565B"/>
    <w:rsid w:val="00C75BB8"/>
    <w:rsid w:val="00CF6CF7"/>
    <w:rsid w:val="00D0346D"/>
    <w:rsid w:val="00D11B42"/>
    <w:rsid w:val="00D508C6"/>
    <w:rsid w:val="00D66D40"/>
    <w:rsid w:val="00D75524"/>
    <w:rsid w:val="00DB0413"/>
    <w:rsid w:val="00DC0FF8"/>
    <w:rsid w:val="00DC3DB8"/>
    <w:rsid w:val="00E05C4A"/>
    <w:rsid w:val="00E15012"/>
    <w:rsid w:val="00E1587D"/>
    <w:rsid w:val="00E371FD"/>
    <w:rsid w:val="00E803B9"/>
    <w:rsid w:val="00EC1A3C"/>
    <w:rsid w:val="00ED4175"/>
    <w:rsid w:val="00EE5FBE"/>
    <w:rsid w:val="00EE608E"/>
    <w:rsid w:val="00F61ACE"/>
    <w:rsid w:val="00F86D1E"/>
    <w:rsid w:val="00FA07AF"/>
    <w:rsid w:val="00FA100C"/>
    <w:rsid w:val="00FA36D0"/>
    <w:rsid w:val="00FA4C38"/>
    <w:rsid w:val="00FC65C3"/>
    <w:rsid w:val="65A03400"/>
    <w:rsid w:val="FBBE9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Document Map"/>
    <w:basedOn w:val="1"/>
    <w:link w:val="14"/>
    <w:unhideWhenUsed/>
    <w:qFormat/>
    <w:uiPriority w:val="99"/>
    <w:rPr>
      <w:rFonts w:ascii="宋体" w:eastAsia="宋体"/>
      <w:sz w:val="18"/>
      <w:szCs w:val="18"/>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Quote"/>
    <w:basedOn w:val="1"/>
    <w:next w:val="1"/>
    <w:link w:val="13"/>
    <w:qFormat/>
    <w:uiPriority w:val="29"/>
    <w:pPr>
      <w:spacing w:before="200" w:after="160"/>
      <w:ind w:left="864" w:right="864"/>
      <w:jc w:val="center"/>
    </w:pPr>
    <w:rPr>
      <w:i/>
      <w:iCs/>
      <w:color w:val="3F3F3F" w:themeColor="text1" w:themeTint="BF"/>
    </w:rPr>
  </w:style>
  <w:style w:type="character" w:customStyle="1" w:styleId="13">
    <w:name w:val="引用 Char"/>
    <w:basedOn w:val="7"/>
    <w:link w:val="12"/>
    <w:qFormat/>
    <w:uiPriority w:val="29"/>
    <w:rPr>
      <w:i/>
      <w:iCs/>
      <w:color w:val="3F3F3F" w:themeColor="text1" w:themeTint="BF"/>
    </w:rPr>
  </w:style>
  <w:style w:type="character" w:customStyle="1" w:styleId="14">
    <w:name w:val="文档结构图 Char"/>
    <w:basedOn w:val="7"/>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1033</Words>
  <Characters>1033</Characters>
  <Lines>7</Lines>
  <Paragraphs>2</Paragraphs>
  <TotalTime>0</TotalTime>
  <ScaleCrop>false</ScaleCrop>
  <LinksUpToDate>false</LinksUpToDate>
  <CharactersWithSpaces>1056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2016-10-26T19:36:00Z</dcterms:created>
  <dc:creator>luobr</dc:creator>
  <cp:lastModifiedBy>邓婷</cp:lastModifiedBy>
  <cp:lastPrinted>2020-03-18T10:31:00Z</cp:lastPrinted>
  <dcterms:modified xsi:type="dcterms:W3CDTF">2025-12-12T01:20:41Z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eyJoZGlkIjoiYzcyNzVkZGRhMDA5NzdlMGNiNTEyYzA3ODI0MWFmMmIiLCJ1c2VySWQiOiIxMDY5MjgzMDcxIn0=</vt:lpwstr>
  </property>
  <property fmtid="{D5CDD505-2E9C-101B-9397-08002B2CF9AE}" pid="4" name="ICV">
    <vt:lpwstr>1B2208960606456CA5B4341A1B93E2F9_12</vt:lpwstr>
  </property>
</Properties>
</file>