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2020年度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预算绩效管理工作开展情况</w:t>
      </w:r>
    </w:p>
    <w:p>
      <w:pPr>
        <w:ind w:firstLine="640" w:firstLineChars="200"/>
        <w:rPr>
          <w:rFonts w:hint="eastAsia" w:ascii="仿宋" w:hAnsi="仿宋" w:eastAsia="仿宋" w:cs="Times New Roman"/>
          <w:color w:val="333333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  <w:shd w:val="clear" w:color="auto" w:fill="FFFFFF"/>
        </w:rPr>
        <w:t>2020年</w:t>
      </w:r>
      <w:r>
        <w:rPr>
          <w:rFonts w:hint="eastAsia" w:ascii="仿宋" w:hAnsi="仿宋" w:eastAsia="仿宋"/>
          <w:sz w:val="32"/>
          <w:szCs w:val="32"/>
        </w:rPr>
        <w:t>紧紧围绕省委省政府关于全面实施预算绩效管理的决策部署，积极推进我市全面实施预算绩效管理，在绩效目标管理、绩效运行监控、绩效评价、评价结果应用等方面进行有益的探索，努力</w:t>
      </w:r>
      <w:r>
        <w:rPr>
          <w:rFonts w:hint="eastAsia" w:ascii="仿宋" w:hAnsi="仿宋" w:eastAsia="仿宋" w:cs="仿宋"/>
          <w:sz w:val="32"/>
          <w:szCs w:val="32"/>
        </w:rPr>
        <w:t>构建衡阳市全方位、全过程、全覆盖的预算绩效管理体系，使财政资源配置效率和使用效益有效提高。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 w:cs="黑体"/>
          <w:b/>
          <w:color w:val="000000"/>
          <w:sz w:val="32"/>
          <w:szCs w:val="32"/>
        </w:rPr>
        <w:t>1.推进绩效目标管理，加强绩效管理基础。</w:t>
      </w:r>
      <w:r>
        <w:rPr>
          <w:rFonts w:hint="eastAsia" w:ascii="仿宋" w:hAnsi="仿宋" w:eastAsia="仿宋"/>
          <w:sz w:val="32"/>
          <w:szCs w:val="32"/>
        </w:rPr>
        <w:t>一是抓好市直单位预算绩效目标编制申报。要求所有纳入预算范围的预算单位申报编制绩效目标，并对编制内容、要求和上报时间进行规定。二是</w:t>
      </w:r>
      <w:r>
        <w:rPr>
          <w:rFonts w:hint="eastAsia" w:ascii="楷体" w:hAnsi="楷体" w:eastAsia="楷体" w:cs="黑体"/>
          <w:color w:val="000000"/>
          <w:sz w:val="32"/>
          <w:szCs w:val="32"/>
        </w:rPr>
        <w:t>完成抗疫特别国债资金绩效目标上报。省厅</w:t>
      </w:r>
      <w:r>
        <w:rPr>
          <w:rFonts w:hint="eastAsia" w:ascii="仿宋" w:hAnsi="仿宋" w:eastAsia="仿宋" w:cs="黑体"/>
          <w:bCs/>
          <w:sz w:val="32"/>
          <w:szCs w:val="32"/>
        </w:rPr>
        <w:t>下达我市抗疫特别国债资金</w:t>
      </w:r>
      <w:bookmarkStart w:id="0" w:name="_GoBack"/>
      <w:bookmarkEnd w:id="0"/>
      <w:r>
        <w:rPr>
          <w:rFonts w:hint="eastAsia" w:ascii="仿宋" w:hAnsi="仿宋" w:eastAsia="仿宋" w:cs="黑体"/>
          <w:bCs/>
          <w:sz w:val="32"/>
          <w:szCs w:val="32"/>
        </w:rPr>
        <w:t>及时与业务科室、县市区绩效管理部门衔接，了解抗疫特别国债资金用途和分配情况，按规定时间</w:t>
      </w:r>
      <w:r>
        <w:rPr>
          <w:rFonts w:hint="eastAsia" w:ascii="仿宋" w:hAnsi="仿宋" w:eastAsia="仿宋"/>
          <w:sz w:val="32"/>
          <w:szCs w:val="32"/>
        </w:rPr>
        <w:t>填报特别国债绩效目标申报表，申报率达100%。</w:t>
      </w:r>
    </w:p>
    <w:p>
      <w:pPr>
        <w:ind w:firstLine="643" w:firstLineChars="200"/>
        <w:rPr>
          <w:rFonts w:ascii="仿宋" w:hAnsi="仿宋" w:eastAsia="仿宋" w:cs="黑体"/>
          <w:color w:val="000000"/>
          <w:sz w:val="32"/>
          <w:szCs w:val="32"/>
        </w:rPr>
      </w:pPr>
      <w:r>
        <w:rPr>
          <w:rFonts w:hint="eastAsia" w:ascii="楷体" w:hAnsi="楷体" w:eastAsia="楷体" w:cs="黑体"/>
          <w:b/>
          <w:color w:val="000000"/>
          <w:sz w:val="32"/>
          <w:szCs w:val="32"/>
        </w:rPr>
        <w:t>2.实施绩效运行监控，强化绩效管理监督。</w:t>
      </w:r>
      <w:r>
        <w:rPr>
          <w:rFonts w:hint="eastAsia" w:ascii="仿宋" w:hAnsi="仿宋" w:eastAsia="仿宋"/>
          <w:sz w:val="32"/>
          <w:szCs w:val="32"/>
        </w:rPr>
        <w:t>一是抓好预算绩效运行监控。2020年度纳入预算绩效目标管理的单项金额在100万元以上的项目资金全部进入监控范围，确保能够及时掌握绩效目标完成情况、项目实施进度和资金支出进度。</w:t>
      </w:r>
      <w:r>
        <w:rPr>
          <w:rFonts w:hint="eastAsia" w:ascii="仿宋_GB2312" w:eastAsia="仿宋_GB2312"/>
          <w:color w:val="000000"/>
          <w:sz w:val="32"/>
          <w:szCs w:val="32"/>
        </w:rPr>
        <w:t>绩效监控以预算单位自主监控为主。</w:t>
      </w:r>
      <w:r>
        <w:rPr>
          <w:rFonts w:hint="eastAsia" w:ascii="仿宋" w:hAnsi="仿宋" w:eastAsia="仿宋"/>
          <w:sz w:val="32"/>
          <w:szCs w:val="32"/>
        </w:rPr>
        <w:t>二是落实扶贫资金动态管理。在财政部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扶贫资金动态监控平台中，</w:t>
      </w:r>
      <w:r>
        <w:rPr>
          <w:rFonts w:hint="eastAsia" w:ascii="仿宋" w:hAnsi="仿宋" w:eastAsia="仿宋"/>
          <w:sz w:val="32"/>
          <w:szCs w:val="32"/>
        </w:rPr>
        <w:t>积极完成市本级扶贫资金的绩效目标申报、审核及绩效自评工作，督促各县市区填报和审核扶贫资金绩效目标，开展绩效自评，确保纳入动态监控平台的扶贫资金绩效目标申报、审核和自评100%到位。三是跟踪惠企解困资金。</w:t>
      </w:r>
      <w:r>
        <w:rPr>
          <w:rFonts w:hint="eastAsia" w:ascii="仿宋" w:hAnsi="仿宋" w:eastAsia="仿宋" w:cs="黑体"/>
          <w:color w:val="000000"/>
          <w:sz w:val="32"/>
          <w:szCs w:val="32"/>
        </w:rPr>
        <w:t>2020年市财政安排惠企解困资金2.03亿元应对疫情，解决企业困境，支持实体经济，惠及全市472家实体企业。2021年初将开始对惠企解困资金开展财政重点绩效评价。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楷体" w:hAnsi="楷体" w:eastAsia="楷体" w:cs="黑体"/>
          <w:b/>
          <w:color w:val="000000"/>
          <w:sz w:val="32"/>
          <w:szCs w:val="32"/>
        </w:rPr>
        <w:t>3.开展绩效评价工作，提高绩效管理水平。</w:t>
      </w:r>
      <w:r>
        <w:rPr>
          <w:rFonts w:hint="eastAsia" w:ascii="仿宋" w:hAnsi="仿宋" w:eastAsia="仿宋"/>
          <w:sz w:val="32"/>
          <w:szCs w:val="32"/>
        </w:rPr>
        <w:t>一是组织绩效自评。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对市直</w:t>
      </w:r>
      <w:r>
        <w:rPr>
          <w:rFonts w:ascii="仿宋" w:hAnsi="仿宋" w:eastAsia="仿宋" w:cs="仿宋"/>
          <w:color w:val="000000"/>
          <w:sz w:val="32"/>
          <w:szCs w:val="32"/>
        </w:rPr>
        <w:t>预算部门、单位201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9</w:t>
      </w:r>
      <w:r>
        <w:rPr>
          <w:rFonts w:ascii="仿宋" w:hAnsi="仿宋" w:eastAsia="仿宋" w:cs="仿宋"/>
          <w:color w:val="000000"/>
          <w:sz w:val="32"/>
          <w:szCs w:val="32"/>
        </w:rPr>
        <w:t>年度部门整体支出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开展绩效自评工作，撰写绩效自评报告，在预算单位门户网站公开，实现绩效自评工作全覆盖。</w:t>
      </w:r>
      <w:r>
        <w:rPr>
          <w:rFonts w:hint="eastAsia" w:ascii="仿宋" w:hAnsi="仿宋" w:eastAsia="仿宋"/>
          <w:sz w:val="32"/>
          <w:szCs w:val="32"/>
        </w:rPr>
        <w:t>二是开展预算绩效重点评价。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2020年对</w:t>
      </w:r>
      <w:r>
        <w:rPr>
          <w:rFonts w:hint="eastAsia" w:ascii="仿宋" w:hAnsi="仿宋" w:eastAsia="仿宋" w:cs="Times New Roman"/>
          <w:sz w:val="32"/>
          <w:szCs w:val="32"/>
        </w:rPr>
        <w:t>科技专项资金、人才发展专项资金、文化产业发展资金、油茶产业发展资金、扶贫专项资金、生活垃圾焚烧发电厂PPP项目等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8个项目资金和</w:t>
      </w:r>
      <w:r>
        <w:rPr>
          <w:rFonts w:hint="eastAsia" w:ascii="仿宋" w:hAnsi="仿宋" w:eastAsia="仿宋" w:cs="Times New Roman"/>
          <w:sz w:val="32"/>
          <w:szCs w:val="32"/>
        </w:rPr>
        <w:t>编办、信访局、农业农村局等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15个单位开展财政重点绩效评价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从湖南省绩效评价第三方机构数据库中选择</w:t>
      </w:r>
      <w:r>
        <w:rPr>
          <w:rFonts w:hint="eastAsia" w:ascii="仿宋" w:hAnsi="仿宋" w:eastAsia="仿宋" w:cs="Times New Roman"/>
          <w:sz w:val="32"/>
          <w:szCs w:val="32"/>
        </w:rPr>
        <w:t>中政智信等8家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会计师事务所参与财政绩效重点评价</w:t>
      </w:r>
      <w:r>
        <w:rPr>
          <w:rFonts w:hint="eastAsia" w:ascii="仿宋" w:hAnsi="仿宋" w:eastAsia="仿宋" w:cs="Times New Roman"/>
          <w:sz w:val="32"/>
          <w:szCs w:val="32"/>
        </w:rPr>
        <w:t>，评价金额达7.18亿元，绩效评价报告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按规定程序在我局门户网站公开，接受社会监督。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 w:cs="黑体"/>
          <w:b/>
          <w:color w:val="000000"/>
          <w:sz w:val="32"/>
          <w:szCs w:val="32"/>
        </w:rPr>
        <w:t>4.狠抓评价结果整改，落实评价结果运用。</w:t>
      </w:r>
      <w:r>
        <w:rPr>
          <w:rFonts w:hint="eastAsia" w:ascii="仿宋" w:hAnsi="仿宋" w:eastAsia="仿宋"/>
          <w:sz w:val="32"/>
          <w:szCs w:val="32"/>
        </w:rPr>
        <w:t>一是落实评价结果反馈整改。对2019年评价的8个专项资金及7个部门整体支出的绩效评价结果、存在的问题和意见建议及时向预算单位反馈，15个单位（项目）在规定时间内上报了《绩效评价结果整改报告书》。二是评价结果运用到预算安排中。根据2019年重点绩效评价结果，在2020年年初预算中对开放型经济发展资金、城乡居民最低生活保障金两个绩效好的项目，增加了预算5500万元；对2020年重点绩效评价结果评“优”的科技发展专项资金预算安排增加960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43AE"/>
    <w:rsid w:val="000243AE"/>
    <w:rsid w:val="0032287A"/>
    <w:rsid w:val="004F61BD"/>
    <w:rsid w:val="00610DB6"/>
    <w:rsid w:val="0063072E"/>
    <w:rsid w:val="007250DB"/>
    <w:rsid w:val="00751BF0"/>
    <w:rsid w:val="007924A5"/>
    <w:rsid w:val="007D5384"/>
    <w:rsid w:val="00A36084"/>
    <w:rsid w:val="00EA151C"/>
    <w:rsid w:val="00EE2DBF"/>
    <w:rsid w:val="1FC5795F"/>
    <w:rsid w:val="6E76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181</Words>
  <Characters>1035</Characters>
  <Lines>8</Lines>
  <Paragraphs>2</Paragraphs>
  <TotalTime>15</TotalTime>
  <ScaleCrop>false</ScaleCrop>
  <LinksUpToDate>false</LinksUpToDate>
  <CharactersWithSpaces>1214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2021-03-12T01:41:00Z</dcterms:created>
  <dc:creator>lenovo</dc:creator>
  <cp:lastModifiedBy>Ivey1392696185</cp:lastModifiedBy>
  <dcterms:modified xsi:type="dcterms:W3CDTF">2021-09-01T01:07:41Z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8D2911733662463F9A636EEBE5CFD04B</vt:lpwstr>
  </property>
</Properties>
</file>